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left"/>
        <w:textAlignment w:val="auto"/>
        <w:outlineLvl w:val="9"/>
        <w:rPr>
          <w:rFonts w:hint="default" w:ascii="黑体" w:hAnsi="黑体" w:eastAsia="黑体" w:cs="黑体"/>
          <w:b w:val="0"/>
          <w:bCs/>
          <w:i w:val="0"/>
          <w:snapToGrid/>
          <w:color w:val="000000"/>
          <w:sz w:val="32"/>
          <w:szCs w:val="32"/>
          <w:shd w:val="clear" w:color="auto" w:fill="FFFFFF"/>
          <w:lang w:val="en-US" w:eastAsia="zh-CN"/>
        </w:rPr>
      </w:pPr>
      <w:r>
        <w:rPr>
          <w:rFonts w:hint="eastAsia" w:ascii="黑体" w:hAnsi="黑体" w:eastAsia="黑体" w:cs="黑体"/>
          <w:b w:val="0"/>
          <w:bCs/>
          <w:i w:val="0"/>
          <w:snapToGrid/>
          <w:color w:val="000000"/>
          <w:sz w:val="32"/>
          <w:szCs w:val="32"/>
          <w:shd w:val="clear" w:color="auto" w:fill="FFFFFF"/>
          <w:lang w:val="en-US" w:eastAsia="zh-CN"/>
        </w:rPr>
        <w:t>附件2</w:t>
      </w:r>
      <w:bookmarkStart w:id="0" w:name="_GoBack"/>
      <w:bookmarkEnd w:id="0"/>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0"/>
        <w:rPr>
          <w:rFonts w:hint="eastAsia" w:ascii="宋体" w:hAnsi="宋体" w:eastAsia="宋体" w:cs="宋体"/>
          <w:b w:val="0"/>
          <w:bCs/>
          <w:i w:val="0"/>
          <w:snapToGrid/>
          <w:color w:val="000000"/>
          <w:sz w:val="44"/>
          <w:szCs w:val="44"/>
          <w:shd w:val="clear" w:color="auto" w:fill="FFFFFF"/>
          <w:lang w:eastAsia="zh-CN"/>
        </w:rPr>
      </w:pPr>
      <w:r>
        <w:rPr>
          <w:rFonts w:hint="eastAsia" w:ascii="宋体" w:hAnsi="宋体" w:eastAsia="宋体" w:cs="宋体"/>
          <w:b w:val="0"/>
          <w:bCs/>
          <w:i w:val="0"/>
          <w:snapToGrid/>
          <w:color w:val="000000"/>
          <w:sz w:val="44"/>
          <w:szCs w:val="44"/>
          <w:shd w:val="clear" w:color="auto" w:fill="FFFFFF"/>
          <w:lang w:eastAsia="zh-CN"/>
        </w:rPr>
        <w:t>海南省海洋环境保护规定</w:t>
      </w:r>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9"/>
        <w:rPr>
          <w:rFonts w:hint="eastAsia" w:ascii="宋体" w:hAnsi="宋体" w:cs="宋体"/>
          <w:b w:val="0"/>
          <w:bCs/>
          <w:i w:val="0"/>
          <w:snapToGrid/>
          <w:color w:val="000000"/>
          <w:sz w:val="44"/>
          <w:szCs w:val="44"/>
          <w:shd w:val="clear" w:color="auto" w:fill="FFFFFF"/>
          <w:lang w:val="en-US" w:eastAsia="zh-CN"/>
        </w:rPr>
      </w:pPr>
      <w:r>
        <w:rPr>
          <w:rFonts w:hint="eastAsia" w:ascii="宋体" w:hAnsi="宋体" w:cs="宋体"/>
          <w:b w:val="0"/>
          <w:bCs/>
          <w:i w:val="0"/>
          <w:snapToGrid/>
          <w:color w:val="000000"/>
          <w:sz w:val="44"/>
          <w:szCs w:val="44"/>
          <w:shd w:val="clear" w:color="auto" w:fill="FFFFFF"/>
          <w:lang w:val="en-US" w:eastAsia="zh-CN"/>
        </w:rPr>
        <w:t>修订草案</w:t>
      </w:r>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9"/>
        <w:rPr>
          <w:rFonts w:hint="default" w:ascii="宋体" w:hAnsi="宋体" w:cs="宋体"/>
          <w:b w:val="0"/>
          <w:bCs/>
          <w:i w:val="0"/>
          <w:snapToGrid/>
          <w:color w:val="000000"/>
          <w:sz w:val="44"/>
          <w:szCs w:val="44"/>
          <w:shd w:val="clear" w:color="auto" w:fill="FFFFFF"/>
          <w:lang w:val="en-US" w:eastAsia="zh-CN"/>
        </w:rPr>
      </w:pPr>
      <w:r>
        <w:rPr>
          <w:rFonts w:hint="eastAsia" w:ascii="宋体" w:hAnsi="宋体" w:cs="宋体"/>
          <w:b w:val="0"/>
          <w:bCs/>
          <w:i w:val="0"/>
          <w:snapToGrid/>
          <w:color w:val="000000"/>
          <w:sz w:val="44"/>
          <w:szCs w:val="44"/>
          <w:shd w:val="clear" w:color="auto" w:fill="FFFFFF"/>
          <w:lang w:val="en-US" w:eastAsia="zh-CN"/>
        </w:rPr>
        <w:t>（征求意见稿）</w:t>
      </w:r>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9"/>
        <w:rPr>
          <w:rFonts w:hint="eastAsia" w:ascii="楷体_GB2312" w:hAnsi="楷体_GB2312" w:eastAsia="楷体_GB2312" w:cs="楷体_GB2312"/>
          <w:b w:val="0"/>
          <w:bCs/>
          <w:i w:val="0"/>
          <w:snapToGrid/>
          <w:color w:val="000000"/>
          <w:sz w:val="32"/>
          <w:szCs w:val="32"/>
          <w:shd w:val="clear" w:color="auto" w:fill="FFFFFF"/>
          <w:lang w:val="en-US" w:eastAsia="zh-CN"/>
        </w:rPr>
      </w:pPr>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9"/>
        <w:rPr>
          <w:rFonts w:hint="eastAsia" w:ascii="楷体_GB2312" w:hAnsi="楷体_GB2312" w:eastAsia="楷体_GB2312" w:cs="楷体_GB2312"/>
          <w:b w:val="0"/>
          <w:bCs/>
          <w:i w:val="0"/>
          <w:snapToGrid/>
          <w:color w:val="000000"/>
          <w:sz w:val="32"/>
          <w:szCs w:val="32"/>
          <w:shd w:val="clear" w:color="auto" w:fill="FFFFFF"/>
          <w:lang w:val="en-US" w:eastAsia="zh-CN"/>
        </w:rPr>
      </w:pPr>
    </w:p>
    <w:p>
      <w:pPr>
        <w:keepNext w:val="0"/>
        <w:keepLines w:val="0"/>
        <w:pageBreakBefore w:val="0"/>
        <w:widowControl w:val="0"/>
        <w:shd w:val="solid" w:color="FFFFFF" w:fill="auto"/>
        <w:kinsoku/>
        <w:wordWrap/>
        <w:overflowPunct/>
        <w:topLinePunct w:val="0"/>
        <w:autoSpaceDE/>
        <w:autoSpaceDN w:val="0"/>
        <w:bidi w:val="0"/>
        <w:adjustRightInd/>
        <w:snapToGrid/>
        <w:spacing w:beforeAutospacing="0" w:afterAutospacing="0" w:line="579" w:lineRule="exact"/>
        <w:ind w:left="0" w:leftChars="0" w:right="0" w:rightChars="0" w:firstLine="0" w:firstLineChars="0"/>
        <w:jc w:val="center"/>
        <w:textAlignment w:val="auto"/>
        <w:outlineLvl w:val="9"/>
        <w:rPr>
          <w:rFonts w:hint="eastAsia" w:ascii="楷体_GB2312" w:hAnsi="楷体_GB2312" w:eastAsia="楷体_GB2312" w:cs="楷体_GB2312"/>
          <w:b w:val="0"/>
          <w:bCs/>
          <w:i w:val="0"/>
          <w:snapToGrid/>
          <w:color w:val="000000"/>
          <w:sz w:val="32"/>
          <w:szCs w:val="32"/>
          <w:shd w:val="clear" w:color="auto" w:fill="FFFFFF"/>
          <w:lang w:val="en-US" w:eastAsia="zh-CN"/>
        </w:rPr>
      </w:pPr>
    </w:p>
    <w:p>
      <w:pPr>
        <w:pStyle w:val="9"/>
        <w:keepNext w:val="0"/>
        <w:keepLines w:val="0"/>
        <w:pageBreakBefore w:val="0"/>
        <w:kinsoku/>
        <w:wordWrap/>
        <w:overflowPunct/>
        <w:topLinePunct w:val="0"/>
        <w:autoSpaceDE/>
        <w:autoSpaceDN/>
        <w:bidi w:val="0"/>
        <w:adjustRightInd w:val="0"/>
        <w:snapToGrid w:val="0"/>
        <w:spacing w:line="580" w:lineRule="exact"/>
        <w:jc w:val="center"/>
        <w:textAlignment w:val="auto"/>
        <w:rPr>
          <w:rFonts w:hint="eastAsia" w:ascii="楷体" w:hAnsi="楷体" w:eastAsia="楷体" w:cs="楷体"/>
          <w:snapToGrid w:val="0"/>
          <w:kern w:val="0"/>
          <w:sz w:val="32"/>
          <w:szCs w:val="32"/>
        </w:rPr>
      </w:pPr>
      <w:r>
        <w:rPr>
          <w:rFonts w:hint="eastAsia" w:ascii="楷体" w:hAnsi="楷体" w:eastAsia="楷体" w:cs="楷体"/>
          <w:snapToGrid w:val="0"/>
          <w:kern w:val="0"/>
          <w:sz w:val="32"/>
          <w:szCs w:val="32"/>
        </w:rPr>
        <w:t>目    录</w:t>
      </w:r>
    </w:p>
    <w:p>
      <w:pPr>
        <w:pStyle w:val="9"/>
        <w:keepNext w:val="0"/>
        <w:keepLines w:val="0"/>
        <w:pageBreakBefore w:val="0"/>
        <w:kinsoku/>
        <w:wordWrap/>
        <w:overflowPunct/>
        <w:topLinePunct w:val="0"/>
        <w:autoSpaceDE/>
        <w:autoSpaceDN/>
        <w:bidi w:val="0"/>
        <w:adjustRightInd w:val="0"/>
        <w:snapToGrid w:val="0"/>
        <w:spacing w:line="580" w:lineRule="exact"/>
        <w:textAlignment w:val="auto"/>
        <w:rPr>
          <w:rFonts w:hint="eastAsia" w:ascii="楷体" w:hAnsi="楷体" w:eastAsia="楷体" w:cs="楷体"/>
          <w:snapToGrid w:val="0"/>
          <w:kern w:val="0"/>
          <w:sz w:val="32"/>
          <w:szCs w:val="32"/>
        </w:rPr>
      </w:pPr>
    </w:p>
    <w:p>
      <w:pPr>
        <w:pStyle w:val="9"/>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楷体" w:hAnsi="楷体" w:eastAsia="楷体" w:cs="楷体"/>
          <w:snapToGrid w:val="0"/>
          <w:kern w:val="0"/>
          <w:sz w:val="32"/>
          <w:szCs w:val="32"/>
        </w:rPr>
      </w:pPr>
      <w:r>
        <w:rPr>
          <w:rFonts w:hint="eastAsia" w:ascii="楷体" w:hAnsi="楷体" w:eastAsia="楷体" w:cs="楷体"/>
          <w:snapToGrid w:val="0"/>
          <w:kern w:val="0"/>
          <w:sz w:val="32"/>
          <w:szCs w:val="32"/>
        </w:rPr>
        <w:t>第一章  总则</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eastAsia" w:ascii="楷体" w:hAnsi="楷体" w:eastAsia="楷体" w:cs="楷体"/>
          <w:snapToGrid w:val="0"/>
          <w:kern w:val="0"/>
          <w:sz w:val="32"/>
          <w:szCs w:val="32"/>
        </w:rPr>
      </w:pPr>
      <w:r>
        <w:rPr>
          <w:rFonts w:hint="eastAsia" w:ascii="楷体" w:hAnsi="楷体" w:eastAsia="楷体" w:cs="楷体"/>
          <w:snapToGrid w:val="0"/>
          <w:kern w:val="0"/>
          <w:sz w:val="32"/>
          <w:szCs w:val="32"/>
        </w:rPr>
        <w:t>第二章  海洋环境监督管理</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eastAsia" w:ascii="楷体" w:hAnsi="楷体" w:eastAsia="楷体" w:cs="楷体"/>
          <w:snapToGrid w:val="0"/>
          <w:kern w:val="0"/>
          <w:sz w:val="32"/>
          <w:szCs w:val="32"/>
          <w:lang w:eastAsia="zh-CN"/>
        </w:rPr>
      </w:pPr>
      <w:r>
        <w:rPr>
          <w:rFonts w:hint="eastAsia" w:ascii="楷体" w:hAnsi="楷体" w:eastAsia="楷体" w:cs="楷体"/>
          <w:snapToGrid w:val="0"/>
          <w:kern w:val="0"/>
          <w:sz w:val="32"/>
          <w:szCs w:val="32"/>
        </w:rPr>
        <w:t xml:space="preserve">第三章  </w:t>
      </w:r>
      <w:r>
        <w:rPr>
          <w:rFonts w:hint="eastAsia" w:ascii="楷体" w:hAnsi="楷体" w:eastAsia="楷体" w:cs="楷体"/>
          <w:snapToGrid w:val="0"/>
          <w:kern w:val="0"/>
          <w:sz w:val="32"/>
          <w:szCs w:val="32"/>
          <w:lang w:eastAsia="zh-CN"/>
        </w:rPr>
        <w:t>海洋生态保护</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default" w:ascii="楷体" w:hAnsi="楷体" w:eastAsia="楷体" w:cs="楷体"/>
          <w:snapToGrid w:val="0"/>
          <w:kern w:val="0"/>
          <w:sz w:val="32"/>
          <w:szCs w:val="32"/>
          <w:lang w:val="en-US" w:eastAsia="zh-CN"/>
        </w:rPr>
      </w:pPr>
      <w:r>
        <w:rPr>
          <w:rFonts w:hint="eastAsia" w:ascii="楷体" w:hAnsi="楷体" w:eastAsia="楷体" w:cs="楷体"/>
          <w:snapToGrid w:val="0"/>
          <w:kern w:val="0"/>
          <w:sz w:val="32"/>
          <w:szCs w:val="32"/>
          <w:lang w:eastAsia="zh-CN"/>
        </w:rPr>
        <w:t>第四章</w:t>
      </w:r>
      <w:r>
        <w:rPr>
          <w:rFonts w:hint="eastAsia" w:ascii="楷体" w:hAnsi="楷体" w:eastAsia="楷体" w:cs="楷体"/>
          <w:snapToGrid w:val="0"/>
          <w:kern w:val="0"/>
          <w:sz w:val="32"/>
          <w:szCs w:val="32"/>
          <w:lang w:val="en-US" w:eastAsia="zh-CN"/>
        </w:rPr>
        <w:t xml:space="preserve">  海洋环境污染防治</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eastAsia" w:ascii="楷体" w:hAnsi="楷体" w:eastAsia="楷体" w:cs="楷体"/>
          <w:snapToGrid w:val="0"/>
          <w:kern w:val="0"/>
          <w:sz w:val="32"/>
          <w:szCs w:val="32"/>
        </w:rPr>
      </w:pPr>
      <w:r>
        <w:rPr>
          <w:rFonts w:hint="eastAsia" w:ascii="楷体" w:hAnsi="楷体" w:eastAsia="楷体" w:cs="楷体"/>
          <w:snapToGrid w:val="0"/>
          <w:kern w:val="0"/>
          <w:sz w:val="32"/>
          <w:szCs w:val="32"/>
        </w:rPr>
        <w:t>第</w:t>
      </w:r>
      <w:r>
        <w:rPr>
          <w:rFonts w:hint="eastAsia" w:ascii="楷体" w:hAnsi="楷体" w:eastAsia="楷体" w:cs="楷体"/>
          <w:snapToGrid w:val="0"/>
          <w:kern w:val="0"/>
          <w:sz w:val="32"/>
          <w:szCs w:val="32"/>
          <w:lang w:eastAsia="zh-CN"/>
        </w:rPr>
        <w:t>五</w:t>
      </w:r>
      <w:r>
        <w:rPr>
          <w:rFonts w:hint="eastAsia" w:ascii="楷体" w:hAnsi="楷体" w:eastAsia="楷体" w:cs="楷体"/>
          <w:snapToGrid w:val="0"/>
          <w:kern w:val="0"/>
          <w:sz w:val="32"/>
          <w:szCs w:val="32"/>
        </w:rPr>
        <w:t>章  海洋</w:t>
      </w:r>
      <w:r>
        <w:rPr>
          <w:rFonts w:hint="eastAsia" w:ascii="楷体" w:hAnsi="楷体" w:eastAsia="楷体" w:cs="楷体"/>
          <w:snapToGrid w:val="0"/>
          <w:kern w:val="0"/>
          <w:sz w:val="32"/>
          <w:szCs w:val="32"/>
          <w:lang w:val="en-US" w:eastAsia="zh-CN"/>
        </w:rPr>
        <w:t>环境应急管理</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eastAsia" w:ascii="楷体" w:hAnsi="楷体" w:eastAsia="楷体" w:cs="楷体"/>
          <w:snapToGrid w:val="0"/>
          <w:kern w:val="0"/>
          <w:sz w:val="32"/>
          <w:szCs w:val="32"/>
          <w:lang w:val="en-US" w:eastAsia="zh-CN"/>
        </w:rPr>
      </w:pPr>
      <w:r>
        <w:rPr>
          <w:rFonts w:hint="eastAsia" w:ascii="楷体" w:hAnsi="楷体" w:eastAsia="楷体" w:cs="楷体"/>
          <w:snapToGrid w:val="0"/>
          <w:kern w:val="0"/>
          <w:sz w:val="32"/>
          <w:szCs w:val="32"/>
          <w:lang w:eastAsia="zh-CN"/>
        </w:rPr>
        <w:t>第六章</w:t>
      </w:r>
      <w:r>
        <w:rPr>
          <w:rFonts w:hint="eastAsia" w:ascii="楷体" w:hAnsi="楷体" w:eastAsia="楷体" w:cs="楷体"/>
          <w:snapToGrid w:val="0"/>
          <w:kern w:val="0"/>
          <w:sz w:val="32"/>
          <w:szCs w:val="32"/>
          <w:lang w:val="en-US" w:eastAsia="zh-CN"/>
        </w:rPr>
        <w:t xml:space="preserve">  法律责任</w:t>
      </w:r>
    </w:p>
    <w:p>
      <w:pPr>
        <w:pStyle w:val="9"/>
        <w:keepNext w:val="0"/>
        <w:keepLines w:val="0"/>
        <w:pageBreakBefore w:val="0"/>
        <w:kinsoku/>
        <w:wordWrap/>
        <w:overflowPunct/>
        <w:topLinePunct w:val="0"/>
        <w:autoSpaceDE/>
        <w:autoSpaceDN/>
        <w:bidi w:val="0"/>
        <w:adjustRightInd w:val="0"/>
        <w:snapToGrid w:val="0"/>
        <w:spacing w:line="580" w:lineRule="exact"/>
        <w:ind w:firstLine="640"/>
        <w:textAlignment w:val="auto"/>
        <w:rPr>
          <w:rFonts w:hint="default" w:ascii="楷体" w:hAnsi="楷体" w:eastAsia="楷体" w:cs="楷体"/>
          <w:snapToGrid w:val="0"/>
          <w:kern w:val="0"/>
          <w:sz w:val="32"/>
          <w:szCs w:val="32"/>
          <w:lang w:val="en-US" w:eastAsia="zh-CN"/>
        </w:rPr>
      </w:pPr>
      <w:r>
        <w:rPr>
          <w:rFonts w:hint="eastAsia" w:ascii="楷体" w:hAnsi="楷体" w:eastAsia="楷体" w:cs="楷体"/>
          <w:snapToGrid w:val="0"/>
          <w:kern w:val="0"/>
          <w:sz w:val="32"/>
          <w:szCs w:val="32"/>
          <w:lang w:val="en-US" w:eastAsia="zh-CN"/>
        </w:rPr>
        <w:t>第七章  附则</w:t>
      </w:r>
    </w:p>
    <w:p>
      <w:pPr>
        <w:keepNext w:val="0"/>
        <w:keepLines w:val="0"/>
        <w:pageBreakBefore w:val="0"/>
        <w:numPr>
          <w:ilvl w:val="0"/>
          <w:numId w:val="0"/>
        </w:numPr>
        <w:kinsoku/>
        <w:wordWrap/>
        <w:overflowPunct/>
        <w:topLinePunct w:val="0"/>
        <w:autoSpaceDE/>
        <w:autoSpaceDN/>
        <w:bidi w:val="0"/>
        <w:spacing w:line="580" w:lineRule="exact"/>
        <w:ind w:firstLine="0" w:firstLineChars="0"/>
        <w:jc w:val="center"/>
        <w:textAlignment w:val="auto"/>
        <w:outlineLvl w:val="0"/>
        <w:rPr>
          <w:rFonts w:hint="eastAsia" w:ascii="黑体" w:hAnsi="黑体" w:eastAsia="黑体" w:cs="黑体"/>
          <w:kern w:val="2"/>
          <w:sz w:val="32"/>
          <w:szCs w:val="32"/>
          <w:lang w:val="en-US" w:eastAsia="zh-CN"/>
        </w:rPr>
      </w:pP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outlineLvl w:val="0"/>
        <w:rPr>
          <w:rFonts w:ascii="黑体" w:hAnsi="黑体" w:eastAsia="黑体" w:cs="黑体"/>
          <w:sz w:val="32"/>
          <w:szCs w:val="32"/>
        </w:rPr>
      </w:pPr>
      <w:r>
        <w:rPr>
          <w:rFonts w:hint="eastAsia" w:ascii="黑体" w:hAnsi="黑体" w:eastAsia="黑体" w:cs="黑体"/>
          <w:kern w:val="2"/>
          <w:sz w:val="32"/>
          <w:szCs w:val="32"/>
          <w:lang w:val="en-US" w:eastAsia="zh-CN"/>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0" w:firstLineChars="0"/>
        <w:jc w:val="both"/>
        <w:textAlignment w:val="auto"/>
        <w:outlineLvl w:val="9"/>
        <w:rPr>
          <w:rFonts w:hint="eastAsia" w:ascii="宋体" w:hAnsi="宋体" w:eastAsia="宋体" w:cs="宋体"/>
          <w:i w:val="0"/>
          <w:snapToGrid/>
          <w:color w:val="000000"/>
          <w:sz w:val="32"/>
          <w:szCs w:val="32"/>
          <w:shd w:val="clear" w:color="auto" w:fill="FFFFFF"/>
          <w:lang w:eastAsia="zh-CN"/>
        </w:rPr>
      </w:pP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第一条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default" w:ascii="仿宋_GB2312" w:hAnsi="仿宋_GB2312" w:eastAsia="仿宋_GB2312" w:cs="仿宋_GB2312"/>
          <w:i w:val="0"/>
          <w:snapToGrid/>
          <w:color w:val="000000"/>
          <w:sz w:val="32"/>
          <w:szCs w:val="32"/>
          <w:shd w:val="clear" w:color="auto" w:fill="FFFFFF"/>
          <w:lang w:val="en-US" w:eastAsia="zh-CN"/>
        </w:rPr>
        <w:t>为了保护和改善海洋环境，</w:t>
      </w:r>
      <w:r>
        <w:rPr>
          <w:rFonts w:hint="eastAsia" w:ascii="仿宋_GB2312" w:hAnsi="仿宋_GB2312" w:eastAsia="仿宋_GB2312" w:cs="仿宋_GB2312"/>
          <w:b w:val="0"/>
          <w:bCs w:val="0"/>
          <w:i w:val="0"/>
          <w:snapToGrid/>
          <w:color w:val="000000"/>
          <w:sz w:val="32"/>
          <w:szCs w:val="32"/>
          <w:shd w:val="clear" w:color="auto" w:fill="FFFFFF"/>
          <w:lang w:val="en-US" w:eastAsia="zh-CN"/>
        </w:rPr>
        <w:t>保护海洋资源，</w:t>
      </w:r>
      <w:r>
        <w:rPr>
          <w:rFonts w:hint="default" w:ascii="仿宋_GB2312" w:hAnsi="仿宋_GB2312" w:eastAsia="仿宋_GB2312" w:cs="仿宋_GB2312"/>
          <w:b w:val="0"/>
          <w:bCs w:val="0"/>
          <w:i w:val="0"/>
          <w:snapToGrid/>
          <w:color w:val="000000"/>
          <w:sz w:val="32"/>
          <w:szCs w:val="32"/>
          <w:shd w:val="clear" w:color="auto" w:fill="FFFFFF"/>
          <w:lang w:val="en-US" w:eastAsia="zh-CN"/>
        </w:rPr>
        <w:t>防治污染损害，保障生态安全和公众健康，维护国家海洋权益</w:t>
      </w:r>
      <w:r>
        <w:rPr>
          <w:rFonts w:hint="eastAsia" w:ascii="仿宋_GB2312" w:hAnsi="仿宋_GB2312" w:eastAsia="仿宋_GB2312" w:cs="仿宋_GB2312"/>
          <w:b w:val="0"/>
          <w:bCs w:val="0"/>
          <w:i w:val="0"/>
          <w:snapToGrid/>
          <w:color w:val="000000"/>
          <w:sz w:val="32"/>
          <w:szCs w:val="32"/>
          <w:shd w:val="clear" w:color="auto" w:fill="FFFFFF"/>
          <w:lang w:val="en-US" w:eastAsia="zh-CN"/>
        </w:rPr>
        <w:t>，</w:t>
      </w:r>
      <w:r>
        <w:rPr>
          <w:rFonts w:hint="default" w:ascii="仿宋_GB2312" w:hAnsi="仿宋_GB2312" w:eastAsia="仿宋_GB2312" w:cs="仿宋_GB2312"/>
          <w:b w:val="0"/>
          <w:bCs w:val="0"/>
          <w:i w:val="0"/>
          <w:snapToGrid/>
          <w:color w:val="000000"/>
          <w:sz w:val="32"/>
          <w:szCs w:val="32"/>
          <w:shd w:val="clear" w:color="auto" w:fill="FFFFFF"/>
          <w:lang w:val="en-US" w:eastAsia="zh-CN"/>
        </w:rPr>
        <w:t>建设海洋强</w:t>
      </w:r>
      <w:r>
        <w:rPr>
          <w:rFonts w:hint="eastAsia" w:ascii="仿宋_GB2312" w:hAnsi="仿宋_GB2312" w:eastAsia="仿宋_GB2312" w:cs="仿宋_GB2312"/>
          <w:b w:val="0"/>
          <w:bCs w:val="0"/>
          <w:i w:val="0"/>
          <w:snapToGrid/>
          <w:color w:val="auto"/>
          <w:sz w:val="32"/>
          <w:szCs w:val="32"/>
          <w:shd w:val="clear" w:color="auto" w:fill="FFFFFF"/>
          <w:lang w:val="en-US" w:eastAsia="zh-CN"/>
        </w:rPr>
        <w:t>省</w:t>
      </w:r>
      <w:r>
        <w:rPr>
          <w:rFonts w:hint="default" w:ascii="仿宋_GB2312" w:hAnsi="仿宋_GB2312" w:eastAsia="仿宋_GB2312" w:cs="仿宋_GB2312"/>
          <w:b w:val="0"/>
          <w:bCs w:val="0"/>
          <w:i w:val="0"/>
          <w:snapToGrid/>
          <w:color w:val="auto"/>
          <w:sz w:val="32"/>
          <w:szCs w:val="32"/>
          <w:shd w:val="clear" w:color="auto" w:fill="FFFFFF"/>
          <w:lang w:val="en-US" w:eastAsia="zh-CN"/>
        </w:rPr>
        <w:t>，</w:t>
      </w:r>
      <w:r>
        <w:rPr>
          <w:rFonts w:hint="default" w:ascii="仿宋_GB2312" w:hAnsi="仿宋_GB2312" w:eastAsia="仿宋_GB2312" w:cs="仿宋_GB2312"/>
          <w:b w:val="0"/>
          <w:bCs w:val="0"/>
          <w:i w:val="0"/>
          <w:snapToGrid/>
          <w:color w:val="000000"/>
          <w:sz w:val="32"/>
          <w:szCs w:val="32"/>
          <w:shd w:val="clear" w:color="auto" w:fill="FFFFFF"/>
          <w:lang w:val="en-US" w:eastAsia="zh-CN"/>
        </w:rPr>
        <w:t>推进生态文明建设，促进经济社会</w:t>
      </w:r>
      <w:r>
        <w:rPr>
          <w:rFonts w:hint="eastAsia" w:ascii="仿宋_GB2312" w:hAnsi="仿宋_GB2312" w:eastAsia="仿宋_GB2312" w:cs="仿宋_GB2312"/>
          <w:b w:val="0"/>
          <w:bCs w:val="0"/>
          <w:i w:val="0"/>
          <w:snapToGrid/>
          <w:color w:val="000000"/>
          <w:sz w:val="32"/>
          <w:szCs w:val="32"/>
          <w:shd w:val="clear" w:color="auto" w:fill="FFFFFF"/>
          <w:lang w:val="en-US" w:eastAsia="zh-CN"/>
        </w:rPr>
        <w:t>可持续</w:t>
      </w:r>
      <w:r>
        <w:rPr>
          <w:rFonts w:hint="default" w:ascii="仿宋_GB2312" w:hAnsi="仿宋_GB2312" w:eastAsia="仿宋_GB2312" w:cs="仿宋_GB2312"/>
          <w:b w:val="0"/>
          <w:bCs w:val="0"/>
          <w:i w:val="0"/>
          <w:snapToGrid/>
          <w:color w:val="000000"/>
          <w:sz w:val="32"/>
          <w:szCs w:val="32"/>
          <w:shd w:val="clear" w:color="auto" w:fill="FFFFFF"/>
          <w:lang w:val="en-US" w:eastAsia="zh-CN"/>
        </w:rPr>
        <w:t>发展，根据《中华人民共和国海洋环境</w:t>
      </w:r>
      <w:r>
        <w:rPr>
          <w:rFonts w:hint="default" w:ascii="仿宋_GB2312" w:hAnsi="仿宋_GB2312" w:eastAsia="仿宋_GB2312" w:cs="仿宋_GB2312"/>
          <w:i w:val="0"/>
          <w:snapToGrid/>
          <w:color w:val="000000"/>
          <w:sz w:val="32"/>
          <w:szCs w:val="32"/>
          <w:shd w:val="clear" w:color="auto" w:fill="FFFFFF"/>
          <w:lang w:val="en-US" w:eastAsia="zh-CN"/>
        </w:rPr>
        <w:t>保护法》</w:t>
      </w:r>
      <w:r>
        <w:rPr>
          <w:rFonts w:hint="default" w:ascii="仿宋_GB2312" w:hAnsi="仿宋_GB2312" w:eastAsia="仿宋_GB2312" w:cs="仿宋_GB2312"/>
          <w:b w:val="0"/>
          <w:bCs w:val="0"/>
          <w:i w:val="0"/>
          <w:snapToGrid/>
          <w:color w:val="000000"/>
          <w:sz w:val="32"/>
          <w:szCs w:val="32"/>
          <w:shd w:val="clear" w:color="auto" w:fill="FFFFFF"/>
          <w:lang w:val="en-US" w:eastAsia="zh-CN"/>
        </w:rPr>
        <w:t>《中华人民共和国海南自由贸易港法》</w:t>
      </w:r>
      <w:r>
        <w:rPr>
          <w:rFonts w:hint="default" w:ascii="仿宋_GB2312" w:hAnsi="仿宋_GB2312" w:eastAsia="仿宋_GB2312" w:cs="仿宋_GB2312"/>
          <w:i w:val="0"/>
          <w:snapToGrid/>
          <w:color w:val="000000"/>
          <w:sz w:val="32"/>
          <w:szCs w:val="32"/>
          <w:shd w:val="clear" w:color="auto" w:fill="FFFFFF"/>
          <w:lang w:val="en-US" w:eastAsia="zh-CN"/>
        </w:rPr>
        <w:t>和有关法律、法规，结合本省实际，制定本规定</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第二条</w:t>
      </w:r>
      <w:r>
        <w:rPr>
          <w:rFonts w:hint="eastAsia" w:ascii="仿宋_GB2312" w:hAnsi="仿宋_GB2312" w:eastAsia="仿宋_GB2312" w:cs="仿宋_GB2312"/>
          <w:i w:val="0"/>
          <w:snapToGrid/>
          <w:color w:val="000000"/>
          <w:sz w:val="32"/>
          <w:szCs w:val="32"/>
          <w:shd w:val="clear" w:color="auto" w:fill="FFFFFF"/>
          <w:lang w:eastAsia="zh-CN"/>
        </w:rPr>
        <w:t xml:space="preserve">  在本省行政区海域内从事航行、勘探、开发、生产、旅游、科学研究及其他活动，或者在沿海陆域内从事影响海洋环境活动的单位和个人，应当遵守本规定。</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b w:val="0"/>
          <w:bCs w:val="0"/>
          <w:i w:val="0"/>
          <w:snapToGrid/>
          <w:color w:val="000000"/>
          <w:sz w:val="32"/>
          <w:szCs w:val="32"/>
          <w:shd w:val="clear" w:color="auto" w:fill="FFFFFF"/>
          <w:lang w:eastAsia="zh-CN"/>
        </w:rPr>
      </w:pPr>
      <w:r>
        <w:rPr>
          <w:rFonts w:hint="eastAsia" w:ascii="仿宋_GB2312" w:hAnsi="仿宋_GB2312" w:eastAsia="仿宋_GB2312" w:cs="仿宋_GB2312"/>
          <w:b w:val="0"/>
          <w:bCs w:val="0"/>
          <w:i w:val="0"/>
          <w:snapToGrid/>
          <w:color w:val="000000"/>
          <w:sz w:val="32"/>
          <w:szCs w:val="32"/>
          <w:shd w:val="clear" w:color="auto" w:fill="FFFFFF"/>
          <w:lang w:eastAsia="zh-CN"/>
        </w:rPr>
        <w:t>在本省行政区海域以外从事前款规定的活动，造成本省行政区海域环境污染和生态破坏的，</w:t>
      </w:r>
      <w:r>
        <w:rPr>
          <w:rFonts w:hint="eastAsia" w:ascii="仿宋_GB2312" w:hAnsi="仿宋_GB2312" w:eastAsia="仿宋_GB2312" w:cs="仿宋_GB2312"/>
          <w:b w:val="0"/>
          <w:bCs w:val="0"/>
          <w:i w:val="0"/>
          <w:snapToGrid/>
          <w:color w:val="000000"/>
          <w:sz w:val="32"/>
          <w:szCs w:val="32"/>
          <w:shd w:val="clear" w:color="auto" w:fill="FFFFFF"/>
          <w:lang w:val="en-US" w:eastAsia="zh-CN"/>
        </w:rPr>
        <w:t>按照法律、法规以及本规定有关规定执行</w:t>
      </w:r>
      <w:r>
        <w:rPr>
          <w:rFonts w:hint="eastAsia" w:ascii="仿宋_GB2312" w:hAnsi="仿宋_GB2312" w:eastAsia="仿宋_GB2312" w:cs="仿宋_GB2312"/>
          <w:b w:val="0"/>
          <w:bCs w:val="0"/>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生态环境主管部门负责本行政区域内海洋生态环境的监督管理，组织海洋生态环境的调查、监测、监视和评价，并负责本行政区域内防治陆源污染物、海岸和海洋工程建设项目（以下简称工程建设项目）对海洋环境污染损害的环境保护工作，指导、协调和监督本行政区域内海洋生态保护修复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省和沿海市、县、自治县人民政府自然资源和规划主管部门负责所管辖海域海洋资源保护和开发利用的监督管理，负责所管辖海域海洋生态、海域海岸线和海岛的修复工作。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省人民政府海洋主管部门负责组织本行政区海洋预警监测体系建设，负责海洋生态预警监测工作，负责海洋灾害预防、风险评估和隐患排查治理，组织编制海洋灾害应急预案，参与重大海洋灾害应急处置。</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海事管理机构负责所辖港区水域内非军事船舶和港区水域外非渔业、非军事船舶污染海洋环境的监督管理和污染事故的调查处理。对在所管辖海域航行、停泊和作业的外国籍船舶造成的污染事故登轮检查处理。负责本省功能定位尚不明确的混合性港口港区内船舶污染的防治工作。船舶污染事故给渔业造成损害的，应当吸收渔业主管部门参与调查处理。</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渔业主管部门负责所管辖渔港水域内非军事船舶和渔港水域外渔业船舶污染海洋环境的监督管理，负责保护所管辖海域的渔业水域生态环境工作，并调查处理前款规定的污染事故以外的渔业污染事故。</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省和沿海市、县、自治县人民政府林业主管部门负责监督管理本行政区域内各类海洋自然保护地，提出新建、调整各类海洋自然保护地的审核建议并按程序报批。负责海洋生物多样性保护相关工作｡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住房和建设主管部门负责制定本行政区域内海上环卫工作方案，牵头协调相关部门组织实施，指导本行政区域内海上环卫设施建设与管理，督导海上垃圾的减量化、资源化、无害化处理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省海洋和渔业监察总队负责履行海洋、渔业领域行政执法职责，负责组织开展本省行政区海域内的巡航执法，以及海洋和渔业行政执法、海洋维权行动。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省和沿海市、县、自治县人民政府发展和改革、水务等部门在各自职责范围内负责有关行业、领域涉及的海洋环境保护工作。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省和沿海市、县、自治县人民政府可以组织生态环境、自然资源和规划、海洋、渔业等部门和海事管理机构建立海洋生态环境执法协作机制，适时实行海洋环境保护联合调查、联合执法。</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第四条</w:t>
      </w:r>
      <w:r>
        <w:rPr>
          <w:rFonts w:hint="eastAsia" w:ascii="仿宋_GB2312" w:hAnsi="仿宋_GB2312" w:eastAsia="仿宋_GB2312" w:cs="仿宋_GB2312"/>
          <w:i w:val="0"/>
          <w:snapToGrid/>
          <w:color w:val="000000"/>
          <w:sz w:val="32"/>
          <w:szCs w:val="32"/>
          <w:shd w:val="clear" w:color="auto" w:fill="FFFFFF"/>
          <w:lang w:eastAsia="zh-CN"/>
        </w:rPr>
        <w:t xml:space="preserve">  省和沿海市、县、自治县人民政府应当加强对海洋环境保护工作的统一领导，将海洋环境保护工作纳入本行政区国民经济和社会发展规划，按照事权和支出责任划分原则，将海洋环境污染防治、海洋生态保护修复、海洋环境监测、海洋防灾减灾能力建设等海洋环境保护工作经费纳入同级财政预算，并根据经济社会发展状况逐步增加资金投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鼓励多渠道筹措资金，用于海洋环境污染防治、海洋生态保护修复和海洋防灾减灾能力建设。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任何单位和个人都有保护海洋生态环境的义务，并有权对污染海洋环境、破坏海洋生态的单位和个人以及海洋环境监督管理人员的违法行为进行监督和检举。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省和沿海市、县、自治县人民政府按照有关规定对举报污染海洋环境、破坏海洋生态违法行为和保护、改善海洋生态环境做出显著成绩的单位和个人给予表彰和奖励。</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六</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省和沿海市、县、自治县人民政府及其有关部门应当加强海洋环境保护法律、法规的宣传教育和知识普及，提倡绿色低碳生产生活方式，发展循环经济，提升全社会海洋生态环境保护意识和法治观念。</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鼓励、支持海洋环境保护、海洋资源综合利用的研究开发和先进适用技术的推广应用，开展海洋环境保护国际合作和交流。</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鼓励、支持单位和个人开展海洋环境保护公益活动。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七</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沿海市、县、自治县人民政府对其所管辖海域的海洋环境质量负责。</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海洋环境保护纳入沿海市、县、自治县人民政府环境保护任期责任目标，实行目标责任制和考核评价制度。</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省和沿海市、县、自治县人民政府应当每年将所管辖海域海洋环境保护目标完成情况向本级人民代表大会及其常务委员会报告。</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第二章  海洋环境监督管理</w:t>
      </w: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rPr>
          <w:rFonts w:hint="default" w:ascii="黑体" w:hAnsi="黑体" w:eastAsia="黑体" w:cs="黑体"/>
          <w:sz w:val="32"/>
          <w:szCs w:val="32"/>
          <w:lang w:val="en-US" w:eastAsia="zh-CN"/>
        </w:rPr>
      </w:pP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八</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本省海洋类国家公园、自然保护区、自然公园等经依法批准的自然保护地应当划入生态保护红线。</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自然保护地外的重要入海河口，红树林湿地、珊瑚礁和海草床集中分布区、海岸带自然岸线、生物多样性保护优先区域和其他经评估具有重要生态功能、生态环境极敏感脆弱或者潜在重要生态价值的区域划入生态保护红线。</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海洋生态保护红线内的各类开发建设活动应当符合本省生态保护红线准入目录。省和沿海市、县、自治县人民政府应当加强对生态保护红线内人为活动的监督管理，定期评估保护成效</w:t>
      </w:r>
      <w:r>
        <w:rPr>
          <w:rFonts w:eastAsia="仿宋_GB2312"/>
          <w:sz w:val="32"/>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九</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省和沿海市、县、自治县人民政府应当将其管理海域纳入生态环境分区管控方案和生态环境准入清单，报上一级生态环境主管部门备案后发布实施。</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近岸海域生态环境分区管控应当充分衔接国土空间规划</w:t>
      </w:r>
      <w:r>
        <w:rPr>
          <w:rFonts w:hint="eastAsia" w:ascii="仿宋_GB2312" w:hAnsi="仿宋_GB2312" w:eastAsia="仿宋_GB2312" w:cs="仿宋_GB2312"/>
          <w:i w:val="0"/>
          <w:snapToGrid/>
          <w:color w:val="000000"/>
          <w:sz w:val="32"/>
          <w:szCs w:val="32"/>
          <w:shd w:val="clear" w:color="auto" w:fill="FFFFFF"/>
          <w:lang w:eastAsia="zh-CN"/>
        </w:rPr>
        <w:t>、海岸带及海洋空间规划</w:t>
      </w:r>
      <w:r>
        <w:rPr>
          <w:rFonts w:hint="eastAsia" w:ascii="仿宋_GB2312" w:hAnsi="仿宋_GB2312" w:eastAsia="仿宋_GB2312" w:cs="仿宋_GB2312"/>
          <w:i w:val="0"/>
          <w:snapToGrid/>
          <w:color w:val="000000"/>
          <w:sz w:val="32"/>
          <w:szCs w:val="32"/>
          <w:shd w:val="clear" w:color="auto" w:fill="FFFFFF"/>
          <w:lang w:val="en-US" w:eastAsia="zh-CN"/>
        </w:rPr>
        <w:t>，根据海洋生态环境结构、功能、质量等区域特征，精准确定优先保护、重点管控和一般管控单元，因地制宜实施差异化、精细化管理</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省生态环境主管部门应当会同有关部门和沿海市、县、自治县人民政府，根据全国海洋生态环境保护规划，制定全省海洋生态环境保护规划，报省人民政府批准后实施。</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海洋生态环境保护规划应当与国土空间规划、</w:t>
      </w:r>
      <w:r>
        <w:rPr>
          <w:rFonts w:hint="eastAsia" w:ascii="仿宋_GB2312" w:hAnsi="仿宋_GB2312" w:eastAsia="仿宋_GB2312" w:cs="仿宋_GB2312"/>
          <w:i w:val="0"/>
          <w:snapToGrid/>
          <w:color w:val="000000"/>
          <w:sz w:val="32"/>
          <w:szCs w:val="32"/>
          <w:shd w:val="clear" w:color="auto" w:fill="FFFFFF"/>
          <w:lang w:eastAsia="zh-CN"/>
        </w:rPr>
        <w:t>海岸带及海洋空间规划、</w:t>
      </w:r>
      <w:r>
        <w:rPr>
          <w:rFonts w:hint="eastAsia" w:ascii="仿宋_GB2312" w:hAnsi="仿宋_GB2312" w:eastAsia="仿宋_GB2312" w:cs="仿宋_GB2312"/>
          <w:i w:val="0"/>
          <w:snapToGrid/>
          <w:color w:val="000000"/>
          <w:sz w:val="32"/>
          <w:szCs w:val="32"/>
          <w:shd w:val="clear" w:color="auto" w:fill="FFFFFF"/>
          <w:lang w:val="en-US" w:eastAsia="zh-CN"/>
        </w:rPr>
        <w:t>生态环境保护规划、生态环境分区管控方案相衔接。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工业、农业、能源、交通、自然资源、旅游等与海洋环境保护有关的行业发展规划应当与海洋生态环境保护规划相协调，并依法进行包括海洋环境保护内容在内的环境影响评价。</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沿海市、县、自治县人民政府生态环境主管部门可以根据全省海洋生态环境保护规划，制定本行政区海洋生态环境保护规划，报本级人民政府批准后组织实施，并报省生态环境主管部门备案</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一</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省人民政府和沿海市、县、自治县人民政府加强所管辖海域海洋环境质量管控，协同推进海湾综合治理和美丽海湾建设。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对未完成海洋环境保护目标的海域，省人民政府生态环境主管部门和沿海市、县、自治县人民政府行政审批服务部门一年内暂停审批新增相应种类污染物排放总量的建设项目环境影响报告书（表）。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生态环境主管部门会同有关部门约谈该地区人民政府及其有关部门的主要负责人，要求其采取有效措施及时整改，约谈和整改情况应当向社会公开。整改工作完成并经省人民政府生态环境主管部门审核通过后，方可恢复审批</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二</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生态环境主管部门应当会同有关部门建立海洋环境监测、监视网络，组织开展海洋生态环境质量监测，定期组织对海洋生态环境质量状况进行调查评价，发布全省海洋生态环境状况公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省和沿海市、县、自治县人民政府自然资源和规划主管部门负责海域、海岛、海岸线等海洋自然资源调查。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省人民政府海洋主管部门组织开展海洋生态预警监测，负责发布海洋预警预报、海洋灾害公报和海洋生态预警监测公报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农业农村、水务、林业、海事等其他依法行使海洋环境监督管理权的部门和机构应当按照职责分工开展监测、监视。</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省和沿海市、县、自治县人民政府及其有关部门加强监测和监视资料、执法信息等海洋环境管理信息共享，提高海洋环境保护综合管理水平</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55"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三</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省和沿海市、县、自治县人民政府生态环境主管部门应当加强对入海排污口以及入海河流断面水质的监测、监视、调查和评价。</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55"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重点排污单位应当在其向海域排放污染物的排污口安装水质自动监测装置，接受生态环境主管部门的监管。</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55"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第三章  海洋生态保护</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55"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四</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海洋自然保护地的选划、建设和管理，按照国家和本省有关规定执行。</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w:t>
      </w:r>
      <w:r>
        <w:rPr>
          <w:rFonts w:hint="eastAsia" w:ascii="仿宋_GB2312" w:hAnsi="仿宋_GB2312" w:eastAsia="仿宋_GB2312" w:cs="仿宋_GB2312"/>
          <w:i w:val="0"/>
          <w:snapToGrid/>
          <w:color w:val="000000"/>
          <w:sz w:val="32"/>
          <w:szCs w:val="32"/>
          <w:shd w:val="clear" w:color="auto" w:fill="FFFFFF"/>
          <w:lang w:eastAsia="zh-CN"/>
        </w:rPr>
        <w:t>林业主管部门</w:t>
      </w:r>
      <w:r>
        <w:rPr>
          <w:rFonts w:hint="eastAsia" w:ascii="仿宋_GB2312" w:hAnsi="仿宋_GB2312" w:eastAsia="仿宋_GB2312" w:cs="仿宋_GB2312"/>
          <w:i w:val="0"/>
          <w:snapToGrid/>
          <w:color w:val="000000"/>
          <w:sz w:val="32"/>
          <w:szCs w:val="32"/>
          <w:shd w:val="clear" w:color="auto" w:fill="FFFFFF"/>
          <w:lang w:val="en-US" w:eastAsia="zh-CN"/>
        </w:rPr>
        <w:t>应当建立以国家公园为主体、自然保护区为基础、各类自然公园为补充的海洋自然保护地体系。</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w:t>
      </w:r>
      <w:r>
        <w:rPr>
          <w:rFonts w:hint="eastAsia" w:ascii="仿宋_GB2312" w:hAnsi="仿宋_GB2312" w:eastAsia="仿宋_GB2312" w:cs="仿宋_GB2312"/>
          <w:i w:val="0"/>
          <w:snapToGrid/>
          <w:color w:val="000000"/>
          <w:sz w:val="32"/>
          <w:szCs w:val="32"/>
          <w:shd w:val="clear" w:color="auto" w:fill="FFFFFF"/>
          <w:lang w:eastAsia="zh-CN"/>
        </w:rPr>
        <w:t>林业主管部门</w:t>
      </w:r>
      <w:r>
        <w:rPr>
          <w:rFonts w:hint="eastAsia" w:ascii="仿宋_GB2312" w:hAnsi="仿宋_GB2312" w:eastAsia="仿宋_GB2312" w:cs="仿宋_GB2312"/>
          <w:i w:val="0"/>
          <w:snapToGrid/>
          <w:color w:val="000000"/>
          <w:sz w:val="32"/>
          <w:szCs w:val="32"/>
          <w:shd w:val="clear" w:color="auto" w:fill="FFFFFF"/>
          <w:lang w:val="en-US" w:eastAsia="zh-CN"/>
        </w:rPr>
        <w:t>应当充分考虑自然生态系统完整性和连通性，整合扩展本行政区海洋自然保护地，将生态功能重要、生态环境敏感脆弱以及其他有必要严格保护的区域纳入自然保护地体系</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沿海市、县、自治县人民政府应当采取有效措施，保护和修复红树林、珊瑚礁、海藻场、海草床、滨海湿地、海岛、海湾、入海河口、重要渔业水域等具有典型性、代表性的海洋生态系统，保护海洋生物多样性，</w:t>
      </w:r>
      <w:r>
        <w:rPr>
          <w:rFonts w:hint="eastAsia" w:ascii="仿宋_GB2312" w:hAnsi="仿宋_GB2312" w:eastAsia="仿宋_GB2312" w:cs="仿宋_GB2312"/>
          <w:i w:val="0"/>
          <w:snapToGrid/>
          <w:color w:val="000000"/>
          <w:sz w:val="32"/>
          <w:szCs w:val="32"/>
          <w:shd w:val="clear" w:color="auto" w:fill="FFFFFF"/>
          <w:lang w:val="en-US" w:eastAsia="zh-CN"/>
        </w:rPr>
        <w:t>巩固和</w:t>
      </w:r>
      <w:r>
        <w:rPr>
          <w:rFonts w:hint="eastAsia" w:ascii="仿宋_GB2312" w:hAnsi="仿宋_GB2312" w:eastAsia="仿宋_GB2312" w:cs="仿宋_GB2312"/>
          <w:i w:val="0"/>
          <w:snapToGrid/>
          <w:color w:val="000000"/>
          <w:sz w:val="32"/>
          <w:szCs w:val="32"/>
          <w:shd w:val="clear" w:color="auto" w:fill="FFFFFF"/>
          <w:lang w:eastAsia="zh-CN"/>
        </w:rPr>
        <w:t>提升典型生态系统固碳能力。</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六</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省、沿海市、县、自治县人民政府应当加强本行政区沿海防护林的规划、建设、保护和管理，充分发挥沿海防护林防风固沙、涵养水源和保持水土等作用，改善沿海生态环境。</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任何单位和个人不得非法改变沿海防护林林地用途。</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七</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及其有关部门应当结合本行政区海域自然环境的状况和特点，制定自然岸线、沿海防护林、滨海湿地、典型海洋生态系统等整治修复计划，对受到破坏的具有重要经济、社会价值的海洋生态环境进行综合整治。</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省人民政府自然资源和规划、生态环境、</w:t>
      </w:r>
      <w:r>
        <w:rPr>
          <w:rFonts w:hint="eastAsia" w:ascii="仿宋_GB2312" w:hAnsi="仿宋_GB2312" w:eastAsia="仿宋_GB2312" w:cs="仿宋_GB2312"/>
          <w:i w:val="0"/>
          <w:snapToGrid/>
          <w:color w:val="000000"/>
          <w:sz w:val="32"/>
          <w:szCs w:val="32"/>
          <w:shd w:val="clear" w:color="auto" w:fill="FFFFFF"/>
          <w:lang w:eastAsia="zh-CN"/>
        </w:rPr>
        <w:t>林业、农业农村</w:t>
      </w:r>
      <w:r>
        <w:rPr>
          <w:rFonts w:hint="eastAsia" w:ascii="仿宋_GB2312" w:hAnsi="仿宋_GB2312" w:eastAsia="仿宋_GB2312" w:cs="仿宋_GB2312"/>
          <w:i w:val="0"/>
          <w:snapToGrid/>
          <w:color w:val="000000"/>
          <w:sz w:val="32"/>
          <w:szCs w:val="32"/>
          <w:shd w:val="clear" w:color="auto" w:fill="FFFFFF"/>
          <w:lang w:val="en-US" w:eastAsia="zh-CN"/>
        </w:rPr>
        <w:t>等部门应当按照职责分工开展修复成效监督评估</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第十</w:t>
      </w:r>
      <w:r>
        <w:rPr>
          <w:rFonts w:hint="eastAsia" w:ascii="黑体" w:hAnsi="黑体" w:eastAsia="黑体" w:cs="黑体"/>
          <w:i w:val="0"/>
          <w:snapToGrid/>
          <w:color w:val="000000"/>
          <w:sz w:val="32"/>
          <w:szCs w:val="32"/>
          <w:shd w:val="clear" w:color="auto" w:fill="FFFFFF"/>
          <w:lang w:val="en-US" w:eastAsia="zh-CN"/>
        </w:rPr>
        <w:t>八</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开发利用海洋资源应当符合省和沿海市、县、自治县国土空间规划、海岸带及海洋空间规划、生态环境分区管控、海洋生态环境保护规划以及自然保护地、生态保护红线管控要求。</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本省严格保护滨海沙滩、湿地、植被、礁石等自然资源。</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经依法批准采挖海砂、砾石或者开发海岛及周围海域资源的，应当采取严格的生态保护措施，不得破坏海岛地形、岸滩、植被及海岛周围海域生态环境</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十九</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省和</w:t>
      </w: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应当加强对自然岸线的保护，落实国家和省自然岸线保有率管控目标，健全海岸线分类保护与利用制度和自然岸线保有率控制制度，依法组织落实海岸线动态监视监测工作，开展海岸线保护与利用情况现场巡查。</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省人民政府自然资源和规划主管部门会同有关部门和沿海市、县、自治县人民政府划定严格保护岸线的范围并发布</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第二十条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省和沿海市、县、自治县人民政府建立健全海岸建筑退缩线制度。</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省自然资源和规划主管部门会同有关部门和沿海市、县、自治县人民政府，结合海岸带生态保护和开发利用实际，因地制宜、科学合理划定海岸建筑退缩线，优先保障防灾减灾、公众亲海空间。</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海岸建筑退缩线内新建、改建、扩建建筑物、构筑物的，依照本省有关规定执行</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一</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加强对我省典型海洋动植物物种的保护，防止外来海洋动植物物种对我省海洋生态环境的侵害。</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因科学研究、品种培育等特殊需要引进境外海洋动植物物种的，应当按照有关规定报省级以上人民政府农业农村、林业主管部门和海关批准，并采取安全可靠的防范措施与应急处置措施。</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省人民政府农业农村主管部门会同有关部门建立外来物种普查和监测制度。沿海市、县、自治县农业农村主管部门应当会同有关部门，加强对所管辖海域、海岛和海岸带外来物种的调查监测，发现外来物种造成或者可能造成生产、生物、生态危害的，应当及时采取有效措施，避免危害的发生或者减轻、消除危害，并报告本级人民政府和上级主管部门</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val="en-US" w:eastAsia="zh-CN"/>
        </w:rPr>
        <w:t>第二十二条</w:t>
      </w:r>
      <w:r>
        <w:rPr>
          <w:rFonts w:hint="eastAsia" w:ascii="仿宋_GB2312" w:hAnsi="仿宋_GB2312" w:eastAsia="仿宋_GB2312" w:cs="仿宋_GB2312"/>
          <w:i w:val="0"/>
          <w:snapToGrid/>
          <w:color w:val="000000"/>
          <w:sz w:val="32"/>
          <w:szCs w:val="32"/>
          <w:shd w:val="clear" w:color="auto" w:fill="FFFFFF"/>
          <w:lang w:val="en-US" w:eastAsia="zh-CN"/>
        </w:rPr>
        <w:t xml:space="preserve">  沿海市、县、自治县人民政府农业农村主管部门应当根据渔业发展和生态修复的需要，加强对人工鱼礁投放和建设活动的管理，科学实施增殖放流工作，推进海洋牧场建设和发展。</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建设人工鱼礁应当依法进行环境影响评价。不得将有毒有害或者其他可能污染海洋环境的材料用作人工鱼礁礁体。</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第四章  海洋环境污染防治</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三</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省和沿海市、县、自治县人民政府农业农村主管部门应当根据有关规定和要求，科学制定养殖水域滩涂规划，优化海水养殖空间布局，严格落实禁止养殖区、限制养殖区、养殖区的分区管理要求。</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除适度增殖放流外，禁止在禁养区开展养殖活动，加强养殖区和限制养殖区污染防控，加强重点养殖基地和养殖海域环境保护。</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在生态敏感脆弱区、赤潮高发区、污染严重海域等区域内严格控制投饵式海水养殖规模</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四</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从事海水养殖活动应当保护海域环境，科学确定养殖规模和养殖密度，合理投饵、投肥，养殖用药应当符合国家和省有关农药、兽药安全使用的规定和标准。</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从事海水养殖的单位和个人应当及时规范收集处理固体废物，防止造成海洋生态环境的损害。</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省和沿海市、县、自治县人民政府农业农村主管部门应当会同有关部门组织、指导开展养殖尾水集中处理设施建设和升级改造、养殖尾水资源化利用等先进技术的推广应用。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省和沿海市、县、自治县人民政府生态环境主管部门定期开展本行政区养殖尾水监测，加强养殖尾水排放邻近海域及养殖海域环境监测并公布监测信息。</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六</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集中连片海水养殖区应规划统一建设取水、排水与养殖尾水集中处理等公共设施，落实污染防治和生态环境保护措施，确保污染物达标排放。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从事海水养殖的单位和个人应当对集中连片池塘养殖尾水和工厂化养殖尾水进行集中收集处理、生态化处理和资源化利用。养殖尾水排放应当符合本省水产养殖尾水排放标准，防止对海洋环境造成污染。</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工厂化养殖和设置统一排污口的集中连片养殖的排污单位，应当按照国家和本省有关规定对养殖尾水自行监测。</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第二十</w:t>
      </w:r>
      <w:r>
        <w:rPr>
          <w:rFonts w:hint="eastAsia" w:ascii="黑体" w:hAnsi="黑体" w:eastAsia="黑体" w:cs="黑体"/>
          <w:i w:val="0"/>
          <w:snapToGrid/>
          <w:color w:val="000000"/>
          <w:sz w:val="32"/>
          <w:szCs w:val="32"/>
          <w:shd w:val="clear" w:color="auto" w:fill="FFFFFF"/>
          <w:lang w:val="en-US" w:eastAsia="zh-CN"/>
        </w:rPr>
        <w:t>七</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和沿海市、县、自治县人民政府及其有关部门应当按照水污染防治和生态保护有关法律法规的规定，根据入海河流生态环境保护目标，加强入海河流管理，防治污染，增加入海河流生态基流，改善入海河流生态功能，使入海河口水质符合环境质量目标要求。</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加强本行政区主要入海河流总氮、总磷排放的管控，按照国家有关规定制定控制方案并组织实施</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二十八</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沿海市、县、自治县人民政府应当按照国家和本省有关规定，组织有关部门对本行政区域内入海排污口进行排查溯源、分类整治和日常管理等监督管理工作。</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本省入海排污口实行分类管理。省生态环境主管部门应当会同有关部门，制定各类入海排污口设置论证、备案、规范化建设、监测和监督管理要求</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二十九</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入海排污口位置的选择，应当符合国土空间规划和生态环境分区管控要求，根据海水动力条件和有关规定，经科学论证后，报沿海市、县、自治县人民政府生态环境主管部门备案。</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生态环境主管部门应当在完成备案后十五个工作日内将入海排污口设置情况通报自然资源和规划、农业农村等部门和海事管理机构、海警机构、军队生态环境保护部门，并抄送省生态环境主管部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入海排污口的责任主体应当加强排污口监测，按照国家和本省规定对</w:t>
      </w:r>
      <w:r>
        <w:rPr>
          <w:rFonts w:hint="eastAsia" w:ascii="仿宋_GB2312" w:hAnsi="仿宋_GB2312" w:eastAsia="仿宋_GB2312" w:cs="仿宋_GB2312"/>
          <w:i w:val="0"/>
          <w:snapToGrid/>
          <w:color w:val="000000"/>
          <w:sz w:val="32"/>
          <w:szCs w:val="32"/>
          <w:shd w:val="clear" w:color="auto" w:fill="FFFFFF"/>
          <w:lang w:eastAsia="zh-CN"/>
        </w:rPr>
        <w:t>监测采样点、</w:t>
      </w:r>
      <w:r>
        <w:rPr>
          <w:rFonts w:hint="eastAsia" w:ascii="仿宋_GB2312" w:hAnsi="仿宋_GB2312" w:eastAsia="仿宋_GB2312" w:cs="仿宋_GB2312"/>
          <w:i w:val="0"/>
          <w:snapToGrid/>
          <w:color w:val="000000"/>
          <w:sz w:val="32"/>
          <w:szCs w:val="32"/>
          <w:shd w:val="clear" w:color="auto" w:fill="FFFFFF"/>
          <w:lang w:val="en-US" w:eastAsia="zh-CN"/>
        </w:rPr>
        <w:t>监控</w:t>
      </w:r>
      <w:r>
        <w:rPr>
          <w:rFonts w:hint="eastAsia" w:ascii="仿宋_GB2312" w:hAnsi="仿宋_GB2312" w:eastAsia="仿宋_GB2312" w:cs="仿宋_GB2312"/>
          <w:i w:val="0"/>
          <w:snapToGrid/>
          <w:color w:val="000000"/>
          <w:sz w:val="32"/>
          <w:szCs w:val="32"/>
          <w:shd w:val="clear" w:color="auto" w:fill="FFFFFF"/>
          <w:lang w:eastAsia="zh-CN"/>
        </w:rPr>
        <w:t>及监测系统设置</w:t>
      </w:r>
      <w:r>
        <w:rPr>
          <w:rFonts w:hint="eastAsia" w:ascii="仿宋_GB2312" w:hAnsi="仿宋_GB2312" w:eastAsia="仿宋_GB2312" w:cs="仿宋_GB2312"/>
          <w:i w:val="0"/>
          <w:snapToGrid/>
          <w:color w:val="000000"/>
          <w:sz w:val="32"/>
          <w:szCs w:val="32"/>
          <w:shd w:val="clear" w:color="auto" w:fill="FFFFFF"/>
          <w:lang w:val="en-US" w:eastAsia="zh-CN"/>
        </w:rPr>
        <w:t>等开展规范化建设</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禁止在自然保护地、重要渔业水域、海水浴场、生态保护红线区域、严格保护岸线范围及其他需要特别保护的区域，新设工业排污口和城镇污水处理厂排污口；已建的入海排污口，排放污染物超过国家和地方标准，或造成邻近海域污染的，应当进行限期治理。法律、行政法规另有规定的除外。</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在前款区域周边设置排污口，应当采取有效措施确保区域内海洋生态环境不受排污影响</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一</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val="en-US" w:eastAsia="zh-CN"/>
        </w:rPr>
        <w:t xml:space="preserve">  经开放式沟（渠）向海洋排放污染物的，应结合使用功能和自然属性等进行分类管理。对于以排放污水为主要使用功能的开放式沟（渠），纳入入海排污口管理；实行地表水环境管理的沟渠、河汊等应达到其环境质量目标。</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沿海市、县、自治县人民政府应当采取有效措施，结合黑臭水体治理、农村环境综合整治、水产养殖尾水治理等工作，确保开放式沟（渠）满足国家和地方的有关水环境质量管理要求。</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二</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向海域排放陆源污染物的，应当执行国家或者本省标准和有关规定。</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所在城镇应当建设和完善污水管网，有计划地建设污水处理厂或者其他污水集中处理设施，实现城镇污水达标排放。其他沿海乡镇、农村，应当逐步建设污水处理设施，实现生活污水达标排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港口、滨海度假村、酒店、宾馆、医院等单位排放的污水应当纳入城镇污水处理厂集中处理。未纳入污水处理管网的，应当建设独立或者区域污水处理设施，污水经处理后达标排放。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各级生态环境主管部门应当采取措施，鼓励各类污水排放单位实行中水回用</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三</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沿海市、县、自治县人民政府应当坚持陆海统筹，规划建设垃圾处理设施，并保障其正常运行，建立健全生活垃圾清扫、保洁、运输、处置体系，防止生活垃圾入河入海。</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应当建立实施海上环卫制度，完善海洋垃圾的清捞、清运、处置和转运体系，负责公共海域的海上垃圾打捞、岸滩垃圾清理和处置。港口、码头、滨海旅游度假区、海水浴场、海水养殖等依法使用海域或者岸滩的单位和个人，应当负责其用海区域的海上垃圾打捞、岸滩垃圾清理和处置。</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鼓励其他企业事业单位和个人参与海洋垃圾的清理、处置和循环利用</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四</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严格控制在半封闭海湾、河口、潟湖、泄洪通道等兴建影响潮汐通道、行洪安全、降低水体交换能力以及加剧海洋自然条件演变的工程建设项目。因国家和省重点建设项目需要的，应当在工程建设的同时采取必要的海洋环境保护或者生态修复措施</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val="en-US" w:eastAsia="zh-CN"/>
        </w:rPr>
        <w:t xml:space="preserve">  严控围填海和占用自然岸线的工程建设项目。除国家重大项目外，全面禁止围填海。严格控制围海，法律、法规另有规定的从其规定。</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分类处置围填海历史遗留问题，严格限制围填海用于房地产、低水平重复建设休闲旅游娱乐和污染海洋环境的项目</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六</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新建、改建、扩建工程建设项目应当按照国家和本省有关建设项目环境影响评价的规定进行环境影响评价。未依法进行并通过环境影响评价的建设项目，不得开工建设。</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工程建设项目在建设和运行过程中，应当配套建设环境保护设施，并与主体工程同时设计、同时施工、同时投入使用。</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海洋矿产资源开发和海上风电、海底电缆等工程建设应当根据有关规定，采取有效措施，保护国家和地方重点保护的野生动植物及其生存环境</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第三十</w:t>
      </w:r>
      <w:r>
        <w:rPr>
          <w:rFonts w:hint="eastAsia" w:ascii="黑体" w:hAnsi="黑体" w:eastAsia="黑体" w:cs="黑体"/>
          <w:i w:val="0"/>
          <w:snapToGrid/>
          <w:color w:val="000000"/>
          <w:sz w:val="32"/>
          <w:szCs w:val="32"/>
          <w:shd w:val="clear" w:color="auto" w:fill="FFFFFF"/>
          <w:lang w:val="en-US" w:eastAsia="zh-CN"/>
        </w:rPr>
        <w:t>七</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省人民政府和沿海市、县、自治县人民政府应当建立和完善近岸、港湾、码头等区域固体废弃物、废水集中收集、处理的有偿服务制度。</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省和沿海市、县、自治县人民政府应当加强对船舶污染物管理工作的领导，建立船舶污染物、废弃物和压载水、清舱水以及其他有毒有害物质接收、转运、处理处置多部门联合监管制度。</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省和沿海市、县、自治县人民政府应当组织有关部门定期评估联合监管机制运行情况，协调解决联合监管中的突出问题。</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三十八</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港口、码头、装卸站和船舶修造、拆解、打捞的单位应当按照有关规定配备足够的用于处理船舶污染物、废弃物的接收设施，使该设施处于良好状态并有效运行；进行作业时，应当采取预防措施，防止油类、油性混合物和其他废弃物污染海洋环境。</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从事船舶污染物、废弃物、船舶垃圾接收、船舶清舱、洗舱作业活动的，必须具备相应的接收处理能力。</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在港口、码头和利用海上装卸设施从事散装油类、有毒有害液体货物装卸作业活动的，必须依法编制污染应急预案，并配备相应的污染应急设备和器材。应急预案须报海事管理机构部门备案</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三十九</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游艇产生的船舶生活垃圾、生活污水、含油污水，由县级以上人民政府通过政府购买服务方式，进行接收、转运和处置。</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eastAsia="zh-CN"/>
        </w:rPr>
        <w:t>游艇俱乐部、游艇租赁业务经营人以及有关作业单位应当制定防治船舶及其有关作业活动污染环境的应急预案，并报海事管理机构和</w:t>
      </w:r>
      <w:r>
        <w:rPr>
          <w:rFonts w:hint="eastAsia" w:ascii="仿宋_GB2312" w:hAnsi="仿宋_GB2312" w:eastAsia="仿宋_GB2312" w:cs="仿宋_GB2312"/>
          <w:i w:val="0"/>
          <w:snapToGrid/>
          <w:color w:val="000000"/>
          <w:sz w:val="32"/>
          <w:szCs w:val="32"/>
          <w:shd w:val="clear" w:color="auto" w:fill="FFFFFF"/>
          <w:lang w:val="en-US" w:eastAsia="zh-CN"/>
        </w:rPr>
        <w:t>生态环境</w:t>
      </w:r>
      <w:r>
        <w:rPr>
          <w:rFonts w:hint="eastAsia" w:ascii="仿宋_GB2312" w:hAnsi="仿宋_GB2312" w:eastAsia="仿宋_GB2312" w:cs="仿宋_GB2312"/>
          <w:i w:val="0"/>
          <w:snapToGrid/>
          <w:color w:val="000000"/>
          <w:sz w:val="32"/>
          <w:szCs w:val="32"/>
          <w:shd w:val="clear" w:color="auto" w:fill="FFFFFF"/>
          <w:lang w:eastAsia="zh-CN"/>
        </w:rPr>
        <w:t>主管部门备案。</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第四十条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省农业农村主管部门应当编制渔港名录，并向社会公开。</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沿海市、县、自治县人民政府农业农村主管部门应当加强对渔港环境的监督管理，督促渔港加强污染防治相关设备、设施建设，提升渔港接收处理污染物、废弃物和压载水、清舱水以及其他有毒有害物质的能力，改善渔港水域环境。</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r>
        <w:rPr>
          <w:rFonts w:hint="eastAsia" w:ascii="仿宋_GB2312" w:hAnsi="仿宋_GB2312" w:eastAsia="仿宋_GB2312" w:cs="仿宋_GB2312"/>
          <w:i w:val="0"/>
          <w:snapToGrid/>
          <w:color w:val="000000"/>
          <w:sz w:val="32"/>
          <w:szCs w:val="32"/>
          <w:shd w:val="clear" w:color="auto" w:fill="FFFFFF"/>
          <w:lang w:val="en-US" w:eastAsia="zh-CN"/>
        </w:rPr>
        <w:t>在渔港停泊的渔船，应当对其污染物、废弃物和压载水、清舱水以及其他有毒有害物质实行集中收集处理，并接受农业农村部门以及其他有关部门的监督管理。严禁将产生的污染物、废弃物和压载水、清舱水以及其他有毒有害物质弃置海域</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val="en-US" w:eastAsia="zh-CN"/>
        </w:rPr>
        <w:t>第四十一条</w:t>
      </w:r>
      <w:r>
        <w:rPr>
          <w:rFonts w:hint="eastAsia" w:ascii="仿宋_GB2312" w:hAnsi="仿宋_GB2312" w:eastAsia="仿宋_GB2312" w:cs="仿宋_GB2312"/>
          <w:i w:val="0"/>
          <w:snapToGrid/>
          <w:color w:val="000000"/>
          <w:sz w:val="32"/>
          <w:szCs w:val="32"/>
          <w:shd w:val="clear" w:color="auto" w:fill="FFFFFF"/>
          <w:lang w:val="en-US" w:eastAsia="zh-CN"/>
        </w:rPr>
        <w:t xml:space="preserve">  依法使用海域或者海岸从事生产、经营活动的单位和个人，应当采取措施，防止固体废弃物和废水排入海域，污染海洋环境。</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在近岸海域从事海上餐饮服务、</w:t>
      </w:r>
      <w:r>
        <w:rPr>
          <w:rFonts w:hint="eastAsia" w:ascii="仿宋_GB2312" w:hAnsi="仿宋_GB2312" w:eastAsia="仿宋_GB2312" w:cs="仿宋_GB2312"/>
          <w:i w:val="0"/>
          <w:snapToGrid/>
          <w:color w:val="000000"/>
          <w:sz w:val="32"/>
          <w:szCs w:val="32"/>
          <w:shd w:val="clear" w:color="auto" w:fill="FFFFFF"/>
          <w:lang w:eastAsia="zh-CN"/>
        </w:rPr>
        <w:t>旅游娱乐、文化体育等服务</w:t>
      </w:r>
      <w:r>
        <w:rPr>
          <w:rFonts w:hint="eastAsia" w:ascii="仿宋_GB2312" w:hAnsi="仿宋_GB2312" w:eastAsia="仿宋_GB2312" w:cs="仿宋_GB2312"/>
          <w:i w:val="0"/>
          <w:snapToGrid/>
          <w:color w:val="000000"/>
          <w:sz w:val="32"/>
          <w:szCs w:val="32"/>
          <w:shd w:val="clear" w:color="auto" w:fill="FFFFFF"/>
          <w:lang w:val="en-US" w:eastAsia="zh-CN"/>
        </w:rPr>
        <w:t>和其他生产、运输、经营活动的单位和船舶，应当设置垃圾、废水回收设施，将其产生的固体废弃物和废水运至陆地集中处理，不得排入海洋。</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val="en-US" w:eastAsia="zh-CN"/>
        </w:rPr>
      </w:pPr>
    </w:p>
    <w:p>
      <w:pPr>
        <w:keepNext w:val="0"/>
        <w:keepLines w:val="0"/>
        <w:pageBreakBefore w:val="0"/>
        <w:numPr>
          <w:ilvl w:val="0"/>
          <w:numId w:val="0"/>
        </w:numPr>
        <w:kinsoku/>
        <w:wordWrap/>
        <w:overflowPunct/>
        <w:topLinePunct w:val="0"/>
        <w:autoSpaceDE/>
        <w:autoSpaceDN/>
        <w:bidi w:val="0"/>
        <w:spacing w:line="540" w:lineRule="exact"/>
        <w:ind w:firstLine="0" w:firstLineChars="0"/>
        <w:jc w:val="center"/>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第五章  海洋环境应急管理</w:t>
      </w:r>
    </w:p>
    <w:p>
      <w:pPr>
        <w:keepNext w:val="0"/>
        <w:keepLines w:val="0"/>
        <w:pageBreakBefore w:val="0"/>
        <w:widowControl w:val="0"/>
        <w:shd w:val="solid" w:color="FFFFFF" w:fill="auto"/>
        <w:kinsoku/>
        <w:wordWrap/>
        <w:overflowPunct/>
        <w:topLinePunct w:val="0"/>
        <w:autoSpaceDE/>
        <w:autoSpaceDN/>
        <w:bidi w:val="0"/>
        <w:adjustRightInd/>
        <w:snapToGrid/>
        <w:spacing w:beforeAutospacing="0" w:afterAutospacing="0" w:line="540" w:lineRule="exact"/>
        <w:ind w:left="0" w:leftChars="0" w:right="0" w:rightChars="0" w:firstLine="640" w:firstLineChars="0"/>
        <w:jc w:val="both"/>
        <w:textAlignment w:val="auto"/>
        <w:outlineLvl w:val="9"/>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第四十</w:t>
      </w:r>
      <w:r>
        <w:rPr>
          <w:rFonts w:hint="eastAsia" w:ascii="黑体" w:hAnsi="黑体" w:eastAsia="黑体" w:cs="黑体"/>
          <w:i w:val="0"/>
          <w:snapToGrid/>
          <w:color w:val="000000"/>
          <w:sz w:val="32"/>
          <w:szCs w:val="32"/>
          <w:shd w:val="clear" w:color="auto" w:fill="FFFFFF"/>
          <w:lang w:val="en-US" w:eastAsia="zh-CN"/>
        </w:rPr>
        <w:t>二</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省人民政府和沿海市、县、自治县人民政府应当组织有关部门制定防治海啸、海浪、风暴潮、赤潮灾害和重大海洋环境污染事故的应急预案，按照规定程序报批后实施。</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应急预案应当符合预防、处置海洋灾害和重大海洋环境污染事故的需要。</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sz w:val="32"/>
          <w:szCs w:val="32"/>
          <w:lang w:val="en-US"/>
        </w:rPr>
      </w:pPr>
      <w:r>
        <w:rPr>
          <w:rFonts w:hint="eastAsia" w:ascii="仿宋_GB2312" w:hAnsi="仿宋_GB2312" w:eastAsia="仿宋_GB2312" w:cs="仿宋_GB2312"/>
          <w:i w:val="0"/>
          <w:snapToGrid/>
          <w:color w:val="000000"/>
          <w:sz w:val="32"/>
          <w:szCs w:val="32"/>
          <w:shd w:val="clear" w:color="auto" w:fill="FFFFFF"/>
          <w:lang w:val="en-US" w:eastAsia="zh-CN"/>
        </w:rPr>
        <w:t>省人民政府和沿海市、县、自治县人民政府应当根据应急预案统筹安排所必需的物资、设备和基础设施建设，组建应急队伍，所需费用纳入同级财政预算。在发生海洋灾害、海洋环境污染事件时，及时启动应急预案，采取有效措施，解除或者减轻危害。</w:t>
      </w:r>
    </w:p>
    <w:p>
      <w:pPr>
        <w:keepNext w:val="0"/>
        <w:keepLines w:val="0"/>
        <w:pageBreakBefore w:val="0"/>
        <w:widowControl w:val="0"/>
        <w:kinsoku/>
        <w:wordWrap/>
        <w:overflowPunct/>
        <w:topLinePunct w:val="0"/>
        <w:autoSpaceDE/>
        <w:bidi w:val="0"/>
        <w:adjustRightInd/>
        <w:snapToGrid/>
        <w:spacing w:line="540" w:lineRule="exact"/>
        <w:ind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第四十</w:t>
      </w:r>
      <w:r>
        <w:rPr>
          <w:rFonts w:hint="eastAsia" w:ascii="黑体" w:hAnsi="黑体" w:eastAsia="黑体" w:cs="黑体"/>
          <w:i w:val="0"/>
          <w:snapToGrid/>
          <w:color w:val="000000"/>
          <w:sz w:val="32"/>
          <w:szCs w:val="32"/>
          <w:shd w:val="clear" w:color="auto" w:fill="FFFFFF"/>
          <w:lang w:val="en-US" w:eastAsia="zh-CN"/>
        </w:rPr>
        <w:t>三</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沿海石油、化工、造纸及其他可能发生海洋突发环境事件的单位，应当制定本单位应急预案，并根据应急预案配备相应的人员、物资和设备，定期组织开展应急演练；应急预案应当向沿海市、县、自治县人民政府生态环境主管部门和行业主管部门备案</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第四十</w:t>
      </w:r>
      <w:r>
        <w:rPr>
          <w:rFonts w:hint="eastAsia" w:ascii="黑体" w:hAnsi="黑体" w:eastAsia="黑体" w:cs="黑体"/>
          <w:i w:val="0"/>
          <w:snapToGrid/>
          <w:color w:val="000000"/>
          <w:sz w:val="32"/>
          <w:szCs w:val="32"/>
          <w:shd w:val="clear" w:color="auto" w:fill="FFFFFF"/>
          <w:lang w:val="en-US" w:eastAsia="zh-CN"/>
        </w:rPr>
        <w:t>四</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发生海洋环境污染、生态破坏事故时，责任人应当采取有效措施，减轻或者消除危害，及时通知可能受到危害的单位和个人，就近向沿海市、县、自治县生态环境、</w:t>
      </w:r>
      <w:r>
        <w:rPr>
          <w:rFonts w:hint="default" w:ascii="仿宋_GB2312" w:hAnsi="仿宋_GB2312" w:eastAsia="仿宋_GB2312" w:cs="仿宋_GB2312"/>
          <w:i w:val="0"/>
          <w:snapToGrid/>
          <w:color w:val="000000"/>
          <w:sz w:val="32"/>
          <w:szCs w:val="32"/>
          <w:shd w:val="clear" w:color="auto" w:fill="FFFFFF"/>
          <w:lang w:eastAsia="zh-CN"/>
        </w:rPr>
        <w:t>海事</w:t>
      </w:r>
      <w:r>
        <w:rPr>
          <w:rFonts w:hint="eastAsia" w:ascii="仿宋_GB2312" w:hAnsi="仿宋_GB2312" w:eastAsia="仿宋_GB2312" w:cs="仿宋_GB2312"/>
          <w:i w:val="0"/>
          <w:snapToGrid/>
          <w:color w:val="auto"/>
          <w:sz w:val="32"/>
          <w:szCs w:val="32"/>
          <w:shd w:val="clear" w:color="auto" w:fill="FFFFFF"/>
          <w:lang w:val="en-US" w:eastAsia="zh-CN"/>
        </w:rPr>
        <w:t>、</w:t>
      </w:r>
      <w:r>
        <w:rPr>
          <w:rFonts w:hint="default" w:ascii="仿宋_GB2312" w:hAnsi="仿宋_GB2312" w:eastAsia="仿宋_GB2312" w:cs="仿宋_GB2312"/>
          <w:i w:val="0"/>
          <w:snapToGrid/>
          <w:color w:val="auto"/>
          <w:sz w:val="32"/>
          <w:szCs w:val="32"/>
          <w:shd w:val="clear" w:color="auto" w:fill="FFFFFF"/>
          <w:lang w:eastAsia="zh-CN"/>
        </w:rPr>
        <w:t>渔业</w:t>
      </w:r>
      <w:r>
        <w:rPr>
          <w:rFonts w:hint="eastAsia" w:ascii="仿宋_GB2312" w:hAnsi="仿宋_GB2312" w:eastAsia="仿宋_GB2312" w:cs="仿宋_GB2312"/>
          <w:i w:val="0"/>
          <w:snapToGrid/>
          <w:color w:val="000000"/>
          <w:sz w:val="32"/>
          <w:szCs w:val="32"/>
          <w:shd w:val="clear" w:color="auto" w:fill="FFFFFF"/>
          <w:lang w:val="en-US" w:eastAsia="zh-CN"/>
        </w:rPr>
        <w:t>等行使海洋环境监督管理权的任一部门报告，并配合有关部门调查处理</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第四十</w:t>
      </w:r>
      <w:r>
        <w:rPr>
          <w:rFonts w:hint="eastAsia" w:ascii="黑体" w:hAnsi="黑体" w:eastAsia="黑体" w:cs="黑体"/>
          <w:i w:val="0"/>
          <w:snapToGrid/>
          <w:color w:val="000000"/>
          <w:sz w:val="32"/>
          <w:szCs w:val="32"/>
          <w:shd w:val="clear" w:color="auto" w:fill="FFFFFF"/>
          <w:lang w:val="en-US" w:eastAsia="zh-CN"/>
        </w:rPr>
        <w:t>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行使海洋环境监督管理权的部门接到海洋环境污染报告后，应当立即赶赴现场，采取有效措施，减轻或者消除危害。属于其职责范围的，应当及时会同有关部门依法对事故进行调查、处理；不属于其职责范围的，应当及时移交有管理职责的部门调查处理。</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属于特大或者重大海洋环境污染事故的，行使海洋环境监督管理权的部门应当将事故发生时间、污染源、主要污染物、采取的应急措施等情况，按照规定报告同级人民政府和其上一级行政主管部门。</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履行统一领导职责或者组织处置突发事件的县级以上人民政府，应当按照有关规定统一、准确、及时发布有关特大或者重大海洋环境污染事故事态发展和应急处置工作的信息。</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val="en-US" w:eastAsia="zh-CN"/>
        </w:rPr>
        <w:t>第四十六条</w:t>
      </w:r>
      <w:r>
        <w:rPr>
          <w:rFonts w:hint="eastAsia" w:ascii="仿宋_GB2312" w:hAnsi="仿宋_GB2312" w:eastAsia="仿宋_GB2312" w:cs="仿宋_GB2312"/>
          <w:i w:val="0"/>
          <w:snapToGrid/>
          <w:color w:val="000000"/>
          <w:sz w:val="32"/>
          <w:szCs w:val="32"/>
          <w:shd w:val="clear" w:color="auto" w:fill="FFFFFF"/>
          <w:lang w:val="en-US" w:eastAsia="zh-CN"/>
        </w:rPr>
        <w:t xml:space="preserve">  船舶发生海难事故，造成或者可能造成海洋环境重大污染损害的，由海事管理机构依法采取强制清除、打捞或者拖航等应急处置措施，避免或者减少污染损害。属于渔港水域内非军事船舶和渔港水域外渔业船舶的，由渔业主管部门依法处理。</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处理海难事故的费用，依法应当由船舶所有者或者经营者承担的，船舶所有者或者经营者应当及时缴清；未缴清或者未提供相应担保的，不得开航。</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default" w:ascii="黑体" w:hAnsi="黑体" w:eastAsia="黑体" w:cs="黑体"/>
          <w:sz w:val="32"/>
          <w:szCs w:val="32"/>
          <w:lang w:val="en-US" w:eastAsia="zh-CN"/>
        </w:rPr>
      </w:pPr>
      <w:r>
        <w:rPr>
          <w:rFonts w:hint="eastAsia" w:ascii="黑体" w:hAnsi="黑体" w:eastAsia="黑体" w:cs="黑体"/>
          <w:kern w:val="2"/>
          <w:sz w:val="32"/>
          <w:szCs w:val="32"/>
          <w:lang w:val="en-US" w:eastAsia="zh-CN"/>
        </w:rPr>
        <w:t xml:space="preserve">第六章 </w:t>
      </w:r>
      <w:r>
        <w:rPr>
          <w:rFonts w:hint="eastAsia" w:ascii="黑体" w:hAnsi="黑体" w:eastAsia="黑体" w:cs="黑体"/>
          <w:sz w:val="32"/>
          <w:szCs w:val="32"/>
          <w:lang w:val="en-US" w:eastAsia="zh-CN"/>
        </w:rPr>
        <w:t xml:space="preserve"> 法律责任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right="0" w:rightChars="0"/>
        <w:jc w:val="both"/>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55"/>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val="en-US" w:eastAsia="zh-CN"/>
        </w:rPr>
        <w:t>第四十七条</w:t>
      </w:r>
      <w:r>
        <w:rPr>
          <w:rFonts w:hint="eastAsia" w:ascii="仿宋_GB2312" w:hAnsi="仿宋_GB2312" w:eastAsia="仿宋_GB2312" w:cs="仿宋_GB2312"/>
          <w:i w:val="0"/>
          <w:snapToGrid/>
          <w:color w:val="000000"/>
          <w:sz w:val="32"/>
          <w:szCs w:val="32"/>
          <w:shd w:val="clear" w:color="auto" w:fill="FFFFFF"/>
          <w:lang w:val="en-US" w:eastAsia="zh-CN"/>
        </w:rPr>
        <w:t xml:space="preserve">  违反本规定第三十八条第三款、第三十九条第二款和第四十三条规定，未制定应急预案的，由生态环境主管部门或者海事管理机构按照职责分工予以警告，或者责令限期改正</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四十八</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未经批准引进海洋动植物物种对海洋生态环境造成危害的，由县级以上人民政府农业农村、林业主管部门按照各自的职责责令改正，没收外来物种和违法所得，处一万元以上五万元以下罚款；情节严重的，处五万元以上二十五万元以下罚款；构成犯罪的，依法追究刑事责任</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四十九</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超标准排放海水养殖废水的，由县级以上人民政府生态环境主管部门责令停止违法行为、限期改正或者责令采取限制生产、停产整治等措施，并处二万元以上十万元以下的罚款；拒不改正的，可以自责令改正之日的次日起，按照原罚款数额按日连续处罚；情节严重的，报经县级以上人民政府批准，责令停业、关闭</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五十</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违反本规定第二十二条规定，工程建设项目未采取海洋环境保护或者海洋生态修复措施的，由县级以上人民政府生态环境主管部门依法责令停止违法作业、采取补救措施，并处以五万元以上二十万元以下的罚款</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val="en-US" w:eastAsia="zh-CN"/>
        </w:rPr>
        <w:t>第五十一条</w:t>
      </w:r>
      <w:r>
        <w:rPr>
          <w:rFonts w:hint="eastAsia" w:ascii="仿宋_GB2312" w:hAnsi="仿宋_GB2312" w:eastAsia="仿宋_GB2312" w:cs="仿宋_GB2312"/>
          <w:i w:val="0"/>
          <w:snapToGrid/>
          <w:color w:val="000000"/>
          <w:sz w:val="32"/>
          <w:szCs w:val="32"/>
          <w:shd w:val="clear" w:color="auto" w:fill="FFFFFF"/>
          <w:lang w:val="en-US" w:eastAsia="zh-CN"/>
        </w:rPr>
        <w:t xml:space="preserve">  有下列情形之一的，由依法行使海洋环境监督管理权的部门责令停止违法行为、限期改正或者责令采取限制生产、停产整治等措施，并处二万元以上十万元以下的罚款；情节严重的，报经县级以上人民政府批准，责令停业、关闭：</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（一）依法使用海域或者海岸从事生产、经营活动的单位和个人，排放固体废弃物和废水进入海域的；</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（二）在近岸海域从事海上餐饮、旅游娱乐、文化体育等服务和其他生产、运输、经营活动的单位和船舶，未将其产生的固体废弃物和废水运至陆地集中处理且排入海洋的。</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default"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依法作出处罚决定的部门或者机构应当组织复查，发现继续实施该违法行为或者拒绝、阻扰复查的，可以自责令整改之日的次日起，按照原罚款数额按日连续处罚</w:t>
      </w:r>
      <w:r>
        <w:rPr>
          <w:rFonts w:hint="eastAsia" w:ascii="仿宋_GB2312" w:hAnsi="仿宋_GB2312" w:eastAsia="仿宋_GB2312" w:cs="仿宋_GB2312"/>
          <w:i w:val="0"/>
          <w:snapToGrid/>
          <w:color w:val="000000"/>
          <w:sz w:val="32"/>
          <w:szCs w:val="32"/>
          <w:shd w:val="clear" w:color="auto" w:fill="FFFFFF"/>
          <w:lang w:eastAsia="zh-CN"/>
        </w:rPr>
        <w:t>。</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五十二</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w:t>
      </w:r>
      <w:r>
        <w:rPr>
          <w:rFonts w:hint="eastAsia" w:ascii="仿宋_GB2312" w:hAnsi="仿宋_GB2312" w:eastAsia="仿宋_GB2312" w:cs="仿宋_GB2312"/>
          <w:i w:val="0"/>
          <w:snapToGrid/>
          <w:color w:val="000000"/>
          <w:sz w:val="32"/>
          <w:szCs w:val="32"/>
          <w:shd w:val="clear" w:color="auto" w:fill="FFFFFF"/>
          <w:lang w:val="en-US" w:eastAsia="zh-CN"/>
        </w:rPr>
        <w:t>违反国家和本省有关规定，造成本行政区域内海洋生态环境损害的，由省和沿海市、县、自治县人民政府作为赔偿权利人对责任者提出损害赔偿要求，并磋商解决；磋商未达成一致的，依法向人民法院提起损害赔偿诉讼；不提起诉讼的，人民检察院可以向人民法院提起诉讼；提起诉讼的，人民检察院可以支持起诉。</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仿宋_GB2312" w:hAnsi="仿宋_GB2312" w:eastAsia="仿宋_GB2312" w:cs="仿宋_GB2312"/>
          <w:i w:val="0"/>
          <w:snapToGrid/>
          <w:color w:val="000000"/>
          <w:sz w:val="32"/>
          <w:szCs w:val="32"/>
          <w:shd w:val="clear" w:color="auto" w:fill="FFFFFF"/>
          <w:lang w:val="en-US" w:eastAsia="zh-CN"/>
        </w:rPr>
        <w:t>赔偿权利人可以根据有关职责分工，指定有关部门或机构负责具体工作。</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val="en-US" w:eastAsia="zh-CN"/>
        </w:rPr>
      </w:pPr>
      <w:r>
        <w:rPr>
          <w:rFonts w:hint="eastAsia" w:ascii="黑体" w:hAnsi="黑体" w:eastAsia="黑体" w:cs="黑体"/>
          <w:i w:val="0"/>
          <w:snapToGrid/>
          <w:color w:val="000000"/>
          <w:sz w:val="32"/>
          <w:szCs w:val="32"/>
          <w:shd w:val="clear" w:color="auto" w:fill="FFFFFF"/>
          <w:lang w:val="en-US" w:eastAsia="zh-CN"/>
        </w:rPr>
        <w:t>第五十三条</w:t>
      </w:r>
      <w:r>
        <w:rPr>
          <w:rFonts w:hint="eastAsia" w:ascii="仿宋_GB2312" w:hAnsi="仿宋_GB2312" w:eastAsia="仿宋_GB2312" w:cs="仿宋_GB2312"/>
          <w:i w:val="0"/>
          <w:snapToGrid/>
          <w:color w:val="000000"/>
          <w:sz w:val="32"/>
          <w:szCs w:val="32"/>
          <w:shd w:val="clear" w:color="auto" w:fill="FFFFFF"/>
          <w:lang w:val="en-US" w:eastAsia="zh-CN"/>
        </w:rPr>
        <w:t xml:space="preserve">  其他违反本规定规定的行为，法律、法规已有处罚规定的，从其规定。</w:t>
      </w: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五十四</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海洋环境监督管理人员滥用职权、玩忽职守、徇私舞弊，造成海洋环境污染损害的，依法给予处分；构成犯罪的，依法追究刑事责任。</w:t>
      </w:r>
    </w:p>
    <w:p>
      <w:pPr>
        <w:keepNext w:val="0"/>
        <w:keepLines w:val="0"/>
        <w:pageBreakBefore w:val="0"/>
        <w:widowControl w:val="0"/>
        <w:kinsoku/>
        <w:wordWrap/>
        <w:overflowPunct/>
        <w:topLinePunct w:val="0"/>
        <w:autoSpaceDE/>
        <w:bidi w:val="0"/>
        <w:adjustRightInd/>
        <w:snapToGrid/>
        <w:spacing w:line="540" w:lineRule="exact"/>
        <w:ind w:left="0" w:leftChars="0" w:right="0" w:rightChars="0"/>
        <w:textAlignment w:val="auto"/>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default" w:ascii="黑体" w:hAnsi="黑体" w:eastAsia="黑体" w:cs="黑体"/>
          <w:sz w:val="32"/>
          <w:szCs w:val="32"/>
          <w:lang w:val="en-US" w:eastAsia="zh-CN"/>
        </w:rPr>
      </w:pPr>
      <w:r>
        <w:rPr>
          <w:rFonts w:hint="eastAsia" w:ascii="黑体" w:hAnsi="黑体" w:eastAsia="黑体" w:cs="黑体"/>
          <w:kern w:val="2"/>
          <w:sz w:val="32"/>
          <w:szCs w:val="32"/>
          <w:lang w:val="en-US" w:eastAsia="zh-CN"/>
        </w:rPr>
        <w:t xml:space="preserve">第七章 </w:t>
      </w:r>
      <w:r>
        <w:rPr>
          <w:rFonts w:hint="eastAsia" w:ascii="黑体" w:hAnsi="黑体" w:eastAsia="黑体" w:cs="黑体"/>
          <w:sz w:val="32"/>
          <w:szCs w:val="32"/>
          <w:lang w:val="en-US" w:eastAsia="zh-CN"/>
        </w:rPr>
        <w:t xml:space="preserve"> 附则</w:t>
      </w:r>
    </w:p>
    <w:p>
      <w:pPr>
        <w:keepNext w:val="0"/>
        <w:keepLines w:val="0"/>
        <w:pageBreakBefore w:val="0"/>
        <w:widowControl w:val="0"/>
        <w:kinsoku/>
        <w:wordWrap/>
        <w:overflowPunct/>
        <w:topLinePunct w:val="0"/>
        <w:autoSpaceDE/>
        <w:bidi w:val="0"/>
        <w:adjustRightInd/>
        <w:snapToGrid/>
        <w:spacing w:line="540" w:lineRule="exact"/>
        <w:ind w:left="0" w:leftChars="0" w:right="0" w:rightChars="0"/>
        <w:textAlignment w:val="auto"/>
        <w:rPr>
          <w:rFonts w:hint="eastAsia" w:ascii="仿宋_GB2312" w:hAnsi="仿宋_GB2312" w:eastAsia="仿宋_GB2312" w:cs="仿宋_GB2312"/>
          <w:i w:val="0"/>
          <w:snapToGrid/>
          <w:color w:val="000000"/>
          <w:sz w:val="32"/>
          <w:szCs w:val="32"/>
          <w:shd w:val="clear" w:color="auto" w:fill="FFFFFF"/>
          <w:lang w:eastAsia="zh-CN"/>
        </w:rPr>
      </w:pPr>
    </w:p>
    <w:p>
      <w:pPr>
        <w:keepNext w:val="0"/>
        <w:keepLines w:val="0"/>
        <w:pageBreakBefore w:val="0"/>
        <w:widowControl w:val="0"/>
        <w:kinsoku/>
        <w:wordWrap/>
        <w:overflowPunct/>
        <w:topLinePunct w:val="0"/>
        <w:autoSpaceDE/>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i w:val="0"/>
          <w:snapToGrid/>
          <w:color w:val="000000"/>
          <w:sz w:val="32"/>
          <w:szCs w:val="32"/>
          <w:shd w:val="clear" w:color="auto" w:fill="FFFFFF"/>
          <w:lang w:eastAsia="zh-CN"/>
        </w:rPr>
      </w:pPr>
      <w:r>
        <w:rPr>
          <w:rFonts w:hint="eastAsia" w:ascii="黑体" w:hAnsi="黑体" w:eastAsia="黑体" w:cs="黑体"/>
          <w:i w:val="0"/>
          <w:snapToGrid/>
          <w:color w:val="000000"/>
          <w:sz w:val="32"/>
          <w:szCs w:val="32"/>
          <w:shd w:val="clear" w:color="auto" w:fill="FFFFFF"/>
          <w:lang w:eastAsia="zh-CN"/>
        </w:rPr>
        <w:t>第</w:t>
      </w:r>
      <w:r>
        <w:rPr>
          <w:rFonts w:hint="eastAsia" w:ascii="黑体" w:hAnsi="黑体" w:eastAsia="黑体" w:cs="黑体"/>
          <w:i w:val="0"/>
          <w:snapToGrid/>
          <w:color w:val="000000"/>
          <w:sz w:val="32"/>
          <w:szCs w:val="32"/>
          <w:shd w:val="clear" w:color="auto" w:fill="FFFFFF"/>
          <w:lang w:val="en-US" w:eastAsia="zh-CN"/>
        </w:rPr>
        <w:t>五十五</w:t>
      </w:r>
      <w:r>
        <w:rPr>
          <w:rFonts w:hint="eastAsia" w:ascii="黑体" w:hAnsi="黑体" w:eastAsia="黑体" w:cs="黑体"/>
          <w:i w:val="0"/>
          <w:snapToGrid/>
          <w:color w:val="000000"/>
          <w:sz w:val="32"/>
          <w:szCs w:val="32"/>
          <w:shd w:val="clear" w:color="auto" w:fill="FFFFFF"/>
          <w:lang w:eastAsia="zh-CN"/>
        </w:rPr>
        <w:t>条</w:t>
      </w:r>
      <w:r>
        <w:rPr>
          <w:rFonts w:hint="eastAsia" w:ascii="仿宋_GB2312" w:hAnsi="仿宋_GB2312" w:eastAsia="仿宋_GB2312" w:cs="仿宋_GB2312"/>
          <w:i w:val="0"/>
          <w:snapToGrid/>
          <w:color w:val="000000"/>
          <w:sz w:val="32"/>
          <w:szCs w:val="32"/>
          <w:shd w:val="clear" w:color="auto" w:fill="FFFFFF"/>
          <w:lang w:eastAsia="zh-CN"/>
        </w:rPr>
        <w:t xml:space="preserve">  本规定自</w:t>
      </w:r>
      <w:r>
        <w:rPr>
          <w:rFonts w:hint="eastAsia" w:ascii="仿宋_GB2312" w:hAnsi="仿宋_GB2312" w:eastAsia="仿宋_GB2312" w:cs="仿宋_GB2312"/>
          <w:i w:val="0"/>
          <w:snapToGrid/>
          <w:color w:val="000000"/>
          <w:sz w:val="32"/>
          <w:szCs w:val="32"/>
          <w:shd w:val="clear" w:color="auto" w:fill="FFFFFF"/>
          <w:lang w:val="en-US" w:eastAsia="zh-CN"/>
        </w:rPr>
        <w:t xml:space="preserve">20  </w:t>
      </w:r>
      <w:r>
        <w:rPr>
          <w:rFonts w:hint="eastAsia" w:ascii="仿宋_GB2312" w:hAnsi="仿宋_GB2312" w:eastAsia="仿宋_GB2312" w:cs="仿宋_GB2312"/>
          <w:i w:val="0"/>
          <w:snapToGrid/>
          <w:color w:val="000000"/>
          <w:sz w:val="32"/>
          <w:szCs w:val="32"/>
          <w:shd w:val="clear" w:color="auto" w:fill="FFFFFF"/>
          <w:lang w:eastAsia="zh-CN"/>
        </w:rPr>
        <w:t>年</w:t>
      </w:r>
      <w:r>
        <w:rPr>
          <w:rFonts w:hint="eastAsia" w:ascii="仿宋_GB2312" w:hAnsi="仿宋_GB2312" w:eastAsia="仿宋_GB2312" w:cs="仿宋_GB2312"/>
          <w:i w:val="0"/>
          <w:snapToGrid/>
          <w:color w:val="000000"/>
          <w:sz w:val="32"/>
          <w:szCs w:val="32"/>
          <w:shd w:val="clear" w:color="auto" w:fill="FFFFFF"/>
          <w:lang w:val="en-US" w:eastAsia="zh-CN"/>
        </w:rPr>
        <w:t xml:space="preserve">  </w:t>
      </w:r>
      <w:r>
        <w:rPr>
          <w:rFonts w:hint="eastAsia" w:ascii="仿宋_GB2312" w:hAnsi="仿宋_GB2312" w:eastAsia="仿宋_GB2312" w:cs="仿宋_GB2312"/>
          <w:i w:val="0"/>
          <w:snapToGrid/>
          <w:color w:val="000000"/>
          <w:sz w:val="32"/>
          <w:szCs w:val="32"/>
          <w:shd w:val="clear" w:color="auto" w:fill="FFFFFF"/>
          <w:lang w:eastAsia="zh-CN"/>
        </w:rPr>
        <w:t>月</w:t>
      </w:r>
      <w:r>
        <w:rPr>
          <w:rFonts w:hint="eastAsia" w:ascii="仿宋_GB2312" w:hAnsi="仿宋_GB2312" w:eastAsia="仿宋_GB2312" w:cs="仿宋_GB2312"/>
          <w:i w:val="0"/>
          <w:snapToGrid/>
          <w:color w:val="000000"/>
          <w:sz w:val="32"/>
          <w:szCs w:val="32"/>
          <w:shd w:val="clear" w:color="auto" w:fill="FFFFFF"/>
          <w:lang w:val="en-US" w:eastAsia="zh-CN"/>
        </w:rPr>
        <w:t xml:space="preserve">  </w:t>
      </w:r>
      <w:r>
        <w:rPr>
          <w:rFonts w:hint="eastAsia" w:ascii="仿宋_GB2312" w:hAnsi="仿宋_GB2312" w:eastAsia="仿宋_GB2312" w:cs="仿宋_GB2312"/>
          <w:i w:val="0"/>
          <w:snapToGrid/>
          <w:color w:val="000000"/>
          <w:sz w:val="32"/>
          <w:szCs w:val="32"/>
          <w:shd w:val="clear" w:color="auto" w:fill="FFFFFF"/>
          <w:lang w:eastAsia="zh-CN"/>
        </w:rPr>
        <w:t>日起施行。</w:t>
      </w:r>
    </w:p>
    <w:sectPr>
      <w:footerReference r:id="rId3" w:type="default"/>
      <w:footerReference r:id="rId4" w:type="even"/>
      <w:pgSz w:w="11906" w:h="16838"/>
      <w:pgMar w:top="2098" w:right="1474" w:bottom="1984" w:left="1587" w:header="851" w:footer="1701" w:gutter="0"/>
      <w:pgNumType w:fmt="numberInDash"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5156835</wp:posOffset>
              </wp:positionH>
              <wp:positionV relativeFrom="paragraph">
                <wp:posOffset>-8890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eastAsia="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6.05pt;margin-top:-0.7pt;height:144pt;width:144pt;mso-position-horizontal-relative:margin;mso-wrap-style:none;z-index:251659264;mso-width-relative:page;mso-height-relative:page;" filled="f" stroked="f" coordsize="21600,21600" o:gfxdata="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NcVZhXXAAAACwEAAA8AAAAA&#10;AAAAAQAgAAAAOAAAAGRycy9kb3ducmV2LnhtbFBLAQIUABQAAAAIAIdO4kD/PwNHOAIAAG8EAAAO&#10;AAAAAAAAAAEAIAAAADwBAABkcnMvZTJvRG9jLnhtbFBLBQYAAAAABgAGAFkBAADm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eastAsia="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2</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JjHpww4AgAAbwQAAA4AAAAAAAAA&#10;AQAgAAAANQEAAGRycy9lMm9Eb2MueG1sUEsFBgAAAAAGAAYAWQEAAN8FA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2</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71B82E73"/>
    <w:rsid w:val="013639BB"/>
    <w:rsid w:val="01657C13"/>
    <w:rsid w:val="03C414D5"/>
    <w:rsid w:val="05223F2D"/>
    <w:rsid w:val="09EF35B0"/>
    <w:rsid w:val="0A053D41"/>
    <w:rsid w:val="0C2B2A54"/>
    <w:rsid w:val="0C5D60B6"/>
    <w:rsid w:val="0E565F38"/>
    <w:rsid w:val="0E757A52"/>
    <w:rsid w:val="110036B2"/>
    <w:rsid w:val="16195398"/>
    <w:rsid w:val="1A226949"/>
    <w:rsid w:val="1AF6393B"/>
    <w:rsid w:val="1B2B55D1"/>
    <w:rsid w:val="1DC37908"/>
    <w:rsid w:val="21C4457A"/>
    <w:rsid w:val="232B19E3"/>
    <w:rsid w:val="263C7249"/>
    <w:rsid w:val="2A8135B5"/>
    <w:rsid w:val="2B3D0914"/>
    <w:rsid w:val="2B844304"/>
    <w:rsid w:val="31866065"/>
    <w:rsid w:val="31A27B6A"/>
    <w:rsid w:val="31C439B2"/>
    <w:rsid w:val="33E65956"/>
    <w:rsid w:val="3B333430"/>
    <w:rsid w:val="3E1B038F"/>
    <w:rsid w:val="3F790E83"/>
    <w:rsid w:val="42081AFC"/>
    <w:rsid w:val="434150E2"/>
    <w:rsid w:val="479A74F4"/>
    <w:rsid w:val="482A25E9"/>
    <w:rsid w:val="486F68D2"/>
    <w:rsid w:val="48F67FDE"/>
    <w:rsid w:val="4A945A5D"/>
    <w:rsid w:val="4D53466B"/>
    <w:rsid w:val="4E8A24E5"/>
    <w:rsid w:val="532532EC"/>
    <w:rsid w:val="53986FA1"/>
    <w:rsid w:val="54006F02"/>
    <w:rsid w:val="5493359B"/>
    <w:rsid w:val="551004DA"/>
    <w:rsid w:val="5C0E2FD3"/>
    <w:rsid w:val="5E8B7AE0"/>
    <w:rsid w:val="5F2E267D"/>
    <w:rsid w:val="61480B6C"/>
    <w:rsid w:val="620D7895"/>
    <w:rsid w:val="6382260C"/>
    <w:rsid w:val="65442D9D"/>
    <w:rsid w:val="68182791"/>
    <w:rsid w:val="69BE442B"/>
    <w:rsid w:val="6FFA3B26"/>
    <w:rsid w:val="719A16B5"/>
    <w:rsid w:val="71B82E73"/>
    <w:rsid w:val="7327134F"/>
    <w:rsid w:val="732F6718"/>
    <w:rsid w:val="74053D6B"/>
    <w:rsid w:val="78DC848F"/>
    <w:rsid w:val="7CD70E6F"/>
    <w:rsid w:val="7DFB68A9"/>
    <w:rsid w:val="9BFF2304"/>
    <w:rsid w:val="DD8BD4CE"/>
    <w:rsid w:val="F9FDC70F"/>
    <w:rsid w:val="FFE7A42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unhideWhenUsed/>
    <w:qFormat/>
    <w:uiPriority w:val="99"/>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22</Pages>
  <Words>10350</Words>
  <Characters>10351</Characters>
  <Lines>0</Lines>
  <Paragraphs>0</Paragraphs>
  <TotalTime>109</TotalTime>
  <ScaleCrop>false</ScaleCrop>
  <LinksUpToDate>false</LinksUpToDate>
  <CharactersWithSpaces>10503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2017-01-23T11:30:00Z</dcterms:created>
  <dc:creator>Administrator</dc:creator>
  <cp:lastModifiedBy>uos</cp:lastModifiedBy>
  <cp:lastPrinted>2024-12-12T15:38:00Z</cp:lastPrinted>
  <dcterms:modified xsi:type="dcterms:W3CDTF">2025-07-22T10:09:32Z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00021E09E3E548ED9DA149229064D734_13</vt:lpwstr>
  </property>
  <property fmtid="{D5CDD505-2E9C-101B-9397-08002B2CF9AE}" pid="4" name="KSOTemplateDocerSaveRecord">
    <vt:lpwstr>eyJoZGlkIjoiNGE5Y2JhNmNmYTM2NzAyYzBlYWRlNjk1NGEzMGFjNDgiLCJ1c2VySWQiOiIyNTE2MDg5MjQifQ==</vt:lpwstr>
  </property>
</Properties>
</file>