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32"/>
          <w:szCs w:val="32"/>
          <w:lang w:val="en-US" w:eastAsia="zh"/>
        </w:rPr>
      </w:pPr>
      <w:r>
        <w:rPr>
          <w:rFonts w:hint="eastAsia" w:ascii="黑体" w:hAnsi="黑体" w:eastAsia="黑体" w:cs="黑体"/>
          <w:sz w:val="32"/>
          <w:szCs w:val="32"/>
          <w:lang w:val="en-US" w:eastAsia="zh"/>
        </w:rPr>
        <w:t>附件4</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_GBK" w:hAnsi="方正小标宋_GBK" w:eastAsia="方正小标宋_GBK" w:cs="方正小标宋_GBK"/>
          <w:sz w:val="44"/>
          <w:szCs w:val="36"/>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_GBK" w:hAnsi="方正小标宋_GBK" w:eastAsia="方正小标宋_GBK" w:cs="方正小标宋_GBK"/>
          <w:sz w:val="44"/>
          <w:szCs w:val="36"/>
          <w:lang w:val="en-US" w:eastAsia="zh-CN"/>
        </w:rPr>
      </w:pPr>
      <w:r>
        <w:rPr>
          <w:rFonts w:hint="eastAsia" w:ascii="方正小标宋_GBK" w:hAnsi="方正小标宋_GBK" w:eastAsia="方正小标宋_GBK" w:cs="方正小标宋_GBK"/>
          <w:sz w:val="44"/>
          <w:szCs w:val="36"/>
          <w:lang w:val="en-US" w:eastAsia="zh-CN"/>
        </w:rPr>
        <w:t>《海洋省海洋环境保护规定修订草案》</w:t>
      </w:r>
    </w:p>
    <w:p>
      <w:pPr>
        <w:pStyle w:val="12"/>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lang w:val="en-US" w:eastAsia="zh-CN"/>
        </w:rPr>
      </w:pPr>
      <w:r>
        <w:rPr>
          <w:rFonts w:hint="eastAsia" w:ascii="方正小标宋_GBK" w:hAnsi="方正小标宋_GBK" w:eastAsia="方正小标宋_GBK" w:cs="方正小标宋_GBK"/>
          <w:sz w:val="44"/>
          <w:szCs w:val="36"/>
          <w:lang w:val="en-US" w:eastAsia="zh-CN"/>
        </w:rPr>
        <w:t>起草说明</w:t>
      </w:r>
    </w:p>
    <w:p>
      <w:pPr>
        <w:pStyle w:val="4"/>
        <w:rPr>
          <w:rFonts w:hint="eastAsia"/>
          <w:lang w:val="en-US" w:eastAsia="zh-CN"/>
        </w:rPr>
      </w:pPr>
    </w:p>
    <w:p>
      <w:pPr>
        <w:rPr>
          <w:rFonts w:hint="default"/>
          <w:lang w:val="en-US" w:eastAsia="zh-CN"/>
        </w:rPr>
      </w:pPr>
      <w:r>
        <w:rPr>
          <w:rFonts w:hint="default"/>
          <w:lang w:val="en-US" w:eastAsia="zh-CN"/>
        </w:rPr>
        <w:t>《海南省海洋环境保护规定》（以下简称《规定》）</w:t>
      </w:r>
      <w:r>
        <w:rPr>
          <w:rFonts w:hint="eastAsia"/>
          <w:lang w:val="en-US" w:eastAsia="zh-CN"/>
        </w:rPr>
        <w:t>自2008年颁布实施以来</w:t>
      </w:r>
      <w:r>
        <w:rPr>
          <w:rFonts w:hint="default"/>
          <w:lang w:val="en-US" w:eastAsia="zh-CN"/>
        </w:rPr>
        <w:t>，</w:t>
      </w:r>
      <w:r>
        <w:rPr>
          <w:rFonts w:hint="eastAsia"/>
          <w:lang w:val="en-US" w:eastAsia="zh-CN"/>
        </w:rPr>
        <w:t>于</w:t>
      </w:r>
      <w:r>
        <w:rPr>
          <w:rFonts w:hint="default"/>
          <w:lang w:val="en-US" w:eastAsia="zh-CN"/>
        </w:rPr>
        <w:t>2016年、2017年进行了</w:t>
      </w:r>
      <w:r>
        <w:rPr>
          <w:rFonts w:hint="eastAsia"/>
          <w:lang w:val="en-US" w:eastAsia="zh-CN"/>
        </w:rPr>
        <w:t>两次</w:t>
      </w:r>
      <w:r>
        <w:rPr>
          <w:rFonts w:hint="default"/>
          <w:lang w:val="en-US" w:eastAsia="zh-CN"/>
        </w:rPr>
        <w:t>修正，对保护我省海洋环境、维护海洋生态稳定、促进海洋经济发展起到了重要的作用。</w:t>
      </w:r>
      <w:r>
        <w:rPr>
          <w:rFonts w:hint="eastAsia"/>
          <w:lang w:val="en-US" w:eastAsia="zh-CN"/>
        </w:rPr>
        <w:t>但随着《中华人民共和国海洋环境保护法》等上位法和相关行政法规、地方性法规的逐步完善，以及海南自由贸易港、国家生态文明试验区、海洋强省等重大战略决策的实施，我省海洋生态环境保护工作迈上了新台阶，也提出了更高更严的要求。《规定》在使用过程中出现了一定程度的滞后，亟需修订来保证与上位法的统一，满足新时代新形势下的任务需要，推动全省海洋生态环境保护工作进一步法制化、规范化</w:t>
      </w:r>
      <w:r>
        <w:rPr>
          <w:rFonts w:hint="default"/>
          <w:lang w:val="en-US" w:eastAsia="zh-CN"/>
        </w:rPr>
        <w:t>。</w:t>
      </w:r>
    </w:p>
    <w:p>
      <w:pPr>
        <w:outlineLvl w:val="0"/>
        <w:rPr>
          <w:rFonts w:hint="eastAsia" w:ascii="黑体" w:hAnsi="黑体" w:eastAsia="黑体" w:cs="黑体"/>
          <w:lang w:val="en-US" w:eastAsia="zh-CN"/>
        </w:rPr>
      </w:pPr>
      <w:r>
        <w:rPr>
          <w:rFonts w:hint="eastAsia" w:ascii="黑体" w:hAnsi="黑体" w:eastAsia="黑体" w:cs="黑体"/>
          <w:lang w:val="en-US" w:eastAsia="zh-CN"/>
        </w:rPr>
        <w:t>一、起草过程</w:t>
      </w:r>
    </w:p>
    <w:p>
      <w:pPr>
        <w:bidi w:val="0"/>
        <w:rPr>
          <w:rFonts w:hint="default"/>
          <w:lang w:val="en-US" w:eastAsia="zh-CN"/>
        </w:rPr>
      </w:pPr>
      <w:r>
        <w:rPr>
          <w:rFonts w:hint="default"/>
          <w:lang w:val="en-US" w:eastAsia="zh-CN"/>
        </w:rPr>
        <w:t>2024年6月，</w:t>
      </w:r>
      <w:r>
        <w:rPr>
          <w:rFonts w:hint="eastAsia"/>
          <w:lang w:val="en-US" w:eastAsia="zh-CN"/>
        </w:rPr>
        <w:t>我厅正式启动《规定》修订前期研究工作，</w:t>
      </w:r>
      <w:r>
        <w:rPr>
          <w:rFonts w:hint="default"/>
          <w:lang w:val="en-US" w:eastAsia="zh-CN"/>
        </w:rPr>
        <w:t>组织技术力量成立工作组，编制工作方案，落实任务分工和时间安排</w:t>
      </w:r>
      <w:r>
        <w:rPr>
          <w:rFonts w:hint="eastAsia"/>
          <w:lang w:val="en-US" w:eastAsia="zh-CN"/>
        </w:rPr>
        <w:t>，邀请来自部属科研单位、省内高校和律师事务所的专家组成专家咨询组，开展专题研究和过程咨询</w:t>
      </w:r>
      <w:r>
        <w:rPr>
          <w:rFonts w:hint="default"/>
          <w:lang w:val="en-US" w:eastAsia="zh-CN"/>
        </w:rPr>
        <w:t>；组织省直部门立法调研座谈会，梳理各部门海洋生态环境保护领域的工作职责、工作开展情况和存在问题以及对《规定》修订的意见建议，收集</w:t>
      </w:r>
      <w:r>
        <w:rPr>
          <w:rFonts w:hint="eastAsia"/>
          <w:lang w:val="en-US" w:eastAsia="zh-CN"/>
        </w:rPr>
        <w:t>近20</w:t>
      </w:r>
      <w:r>
        <w:rPr>
          <w:rFonts w:hint="default"/>
          <w:lang w:val="en-US" w:eastAsia="zh-CN"/>
        </w:rPr>
        <w:t>条实质修改意见建议，全部</w:t>
      </w:r>
      <w:r>
        <w:rPr>
          <w:rFonts w:hint="eastAsia"/>
          <w:lang w:val="en-US" w:eastAsia="zh-CN"/>
        </w:rPr>
        <w:t>予以</w:t>
      </w:r>
      <w:r>
        <w:rPr>
          <w:rFonts w:hint="default"/>
          <w:lang w:val="en-US" w:eastAsia="zh-CN"/>
        </w:rPr>
        <w:t>采纳。</w:t>
      </w:r>
    </w:p>
    <w:p>
      <w:pPr>
        <w:bidi w:val="0"/>
        <w:rPr>
          <w:rFonts w:hint="default"/>
          <w:lang w:val="en-US" w:eastAsia="zh-CN"/>
        </w:rPr>
      </w:pPr>
      <w:r>
        <w:rPr>
          <w:rFonts w:hint="default"/>
          <w:lang w:val="en-US" w:eastAsia="zh-CN"/>
        </w:rPr>
        <w:t>2024年7月至8月，开展书面和现场调研，梳理国内外立法现状，借鉴其他省市成功立法经验</w:t>
      </w:r>
      <w:r>
        <w:rPr>
          <w:rFonts w:hint="eastAsia"/>
          <w:lang w:val="en-US" w:eastAsia="zh-CN"/>
        </w:rPr>
        <w:t>并</w:t>
      </w:r>
      <w:r>
        <w:rPr>
          <w:rFonts w:hint="default"/>
          <w:lang w:val="en-US" w:eastAsia="zh-CN"/>
        </w:rPr>
        <w:t>赴沿海市县开展现场调研，结合资料收集评估海洋环境保护工作成效与不足。</w:t>
      </w:r>
    </w:p>
    <w:p>
      <w:pPr>
        <w:bidi w:val="0"/>
        <w:rPr>
          <w:rFonts w:hint="default"/>
          <w:lang w:val="en-US" w:eastAsia="zh-CN"/>
        </w:rPr>
      </w:pPr>
      <w:r>
        <w:rPr>
          <w:rFonts w:hint="default"/>
          <w:lang w:val="en-US" w:eastAsia="zh-CN"/>
        </w:rPr>
        <w:t>2024年9月，在前期研究和调研基础上，制定修订草案框架，按工作方案确定分工编制修订草案初稿及起草说明；9月底征求厅内有关处室、单位和市县生态环境部门意见，共收到3条修改意见，采纳2条，部分采纳1条。</w:t>
      </w:r>
    </w:p>
    <w:p>
      <w:pPr>
        <w:bidi w:val="0"/>
        <w:rPr>
          <w:rFonts w:hint="default"/>
          <w:lang w:val="en-US" w:eastAsia="zh-CN"/>
        </w:rPr>
      </w:pPr>
      <w:r>
        <w:rPr>
          <w:rFonts w:hint="default"/>
          <w:lang w:val="en-US" w:eastAsia="zh-CN"/>
        </w:rPr>
        <w:t>2024年10月，赴三沙等市县开展补充调研，了解地方海洋环境保护立法情况和需求意见；组织专家咨询会，就修订草案进行</w:t>
      </w:r>
      <w:r>
        <w:rPr>
          <w:rFonts w:hint="eastAsia"/>
          <w:lang w:val="en-US" w:eastAsia="zh-CN"/>
        </w:rPr>
        <w:t>初步</w:t>
      </w:r>
      <w:r>
        <w:rPr>
          <w:rFonts w:hint="default"/>
          <w:lang w:val="en-US" w:eastAsia="zh-CN"/>
        </w:rPr>
        <w:t>论证，修改完善后形成草案建议稿，月底向省人大</w:t>
      </w:r>
      <w:r>
        <w:rPr>
          <w:rFonts w:hint="eastAsia"/>
          <w:lang w:val="en-US" w:eastAsia="zh-CN"/>
        </w:rPr>
        <w:t>法工委</w:t>
      </w:r>
      <w:r>
        <w:rPr>
          <w:rFonts w:hint="default"/>
          <w:lang w:val="en-US" w:eastAsia="zh-CN"/>
        </w:rPr>
        <w:t>报送</w:t>
      </w:r>
      <w:r>
        <w:rPr>
          <w:rFonts w:hint="eastAsia"/>
          <w:lang w:val="en-US" w:eastAsia="zh-CN"/>
        </w:rPr>
        <w:t>修订</w:t>
      </w:r>
      <w:r>
        <w:rPr>
          <w:rFonts w:hint="default"/>
          <w:lang w:val="en-US" w:eastAsia="zh-CN"/>
        </w:rPr>
        <w:t>草案及立法论证报告。</w:t>
      </w:r>
    </w:p>
    <w:p>
      <w:pPr>
        <w:bidi w:val="0"/>
        <w:rPr>
          <w:rFonts w:hint="default"/>
          <w:lang w:val="en-US" w:eastAsia="zh-CN"/>
        </w:rPr>
      </w:pPr>
      <w:r>
        <w:rPr>
          <w:rFonts w:hint="default"/>
          <w:lang w:val="en-US" w:eastAsia="zh-CN"/>
        </w:rPr>
        <w:t>2024年11月</w:t>
      </w:r>
      <w:r>
        <w:rPr>
          <w:rFonts w:hint="eastAsia"/>
          <w:lang w:val="en-US" w:eastAsia="zh-CN"/>
        </w:rPr>
        <w:t>至2025年6月</w:t>
      </w:r>
      <w:r>
        <w:rPr>
          <w:rFonts w:hint="default"/>
          <w:lang w:val="en-US" w:eastAsia="zh-CN"/>
        </w:rPr>
        <w:t>，对草案作进一步修改</w:t>
      </w:r>
      <w:r>
        <w:rPr>
          <w:rFonts w:hint="eastAsia"/>
          <w:lang w:val="en-US" w:eastAsia="zh-CN"/>
        </w:rPr>
        <w:t>完善。</w:t>
      </w:r>
    </w:p>
    <w:p>
      <w:pPr>
        <w:bidi w:val="0"/>
        <w:outlineLvl w:val="0"/>
        <w:rPr>
          <w:rFonts w:hint="eastAsia" w:ascii="黑体" w:hAnsi="黑体" w:eastAsia="黑体" w:cs="黑体"/>
          <w:lang w:val="en-US" w:eastAsia="zh-CN"/>
        </w:rPr>
      </w:pPr>
      <w:r>
        <w:rPr>
          <w:rFonts w:hint="eastAsia" w:ascii="黑体" w:hAnsi="黑体" w:eastAsia="黑体" w:cs="黑体"/>
          <w:lang w:val="en-US" w:eastAsia="zh-CN"/>
        </w:rPr>
        <w:t>二、修订基本思路</w:t>
      </w:r>
    </w:p>
    <w:p>
      <w:pPr>
        <w:bidi w:val="0"/>
        <w:rPr>
          <w:rFonts w:hint="eastAsia"/>
          <w:lang w:val="en-US" w:eastAsia="zh-CN"/>
        </w:rPr>
      </w:pPr>
      <w:r>
        <w:rPr>
          <w:rFonts w:hint="eastAsia"/>
          <w:lang w:val="en-US" w:eastAsia="zh-CN"/>
        </w:rPr>
        <w:t>为高质量完成《规定》修订工作，主要遵循以下工作思路：</w:t>
      </w:r>
    </w:p>
    <w:p>
      <w:pPr>
        <w:bidi w:val="0"/>
        <w:rPr>
          <w:rFonts w:hint="default"/>
          <w:lang w:val="en-US" w:eastAsia="zh-CN"/>
        </w:rPr>
      </w:pPr>
      <w:r>
        <w:rPr>
          <w:rFonts w:hint="eastAsia"/>
          <w:b/>
          <w:bCs/>
          <w:lang w:val="en-US" w:eastAsia="zh-CN"/>
        </w:rPr>
        <w:t>一是</w:t>
      </w:r>
      <w:r>
        <w:rPr>
          <w:rFonts w:hint="default"/>
          <w:b/>
          <w:bCs/>
          <w:lang w:val="en-US" w:eastAsia="zh-CN"/>
        </w:rPr>
        <w:t>加强与相关法律法规的衔接</w:t>
      </w:r>
      <w:r>
        <w:rPr>
          <w:rFonts w:hint="eastAsia"/>
          <w:b/>
          <w:bCs/>
          <w:lang w:val="en-US" w:eastAsia="zh-CN"/>
        </w:rPr>
        <w:t>。</w:t>
      </w:r>
      <w:r>
        <w:rPr>
          <w:rFonts w:hint="default"/>
          <w:lang w:val="en-US" w:eastAsia="zh-CN"/>
        </w:rPr>
        <w:t>注重和既有立法的衔接、协调，形成制度合力，将立法成果最大化。如删除上位法不再推行实施的重点海域排污总量控制制度、海洋工程排污费等内容，及时调整规范海洋生态保护、各类陆海污染防治等相关要求。</w:t>
      </w:r>
    </w:p>
    <w:p>
      <w:pPr>
        <w:bidi w:val="0"/>
        <w:rPr>
          <w:rFonts w:hint="default"/>
          <w:lang w:val="en-US" w:eastAsia="zh-CN"/>
        </w:rPr>
      </w:pPr>
      <w:r>
        <w:rPr>
          <w:rFonts w:hint="default" w:ascii="Times New Roman" w:hAnsi="Times New Roman"/>
          <w:b/>
          <w:bCs/>
          <w:lang w:val="en-US" w:eastAsia="zh-CN"/>
        </w:rPr>
        <w:t>二是巩固已取得立法和制度建设成果，为进一步探索新的海洋环境保护方式留下空间。</w:t>
      </w:r>
      <w:r>
        <w:rPr>
          <w:rFonts w:hint="default"/>
          <w:lang w:val="en-US" w:eastAsia="zh-CN"/>
        </w:rPr>
        <w:t>2017年《规定》修订后，我省在海洋环境保护方面进行了多向度尝试，生态环境分区管控制度的推行、海洋生物多样性保护、“海上环卫”制度实施等政策和</w:t>
      </w:r>
      <w:r>
        <w:rPr>
          <w:rFonts w:hint="eastAsia"/>
          <w:lang w:val="en-US" w:eastAsia="zh-CN"/>
        </w:rPr>
        <w:t>做法</w:t>
      </w:r>
      <w:r>
        <w:rPr>
          <w:rFonts w:hint="default"/>
          <w:lang w:val="en-US" w:eastAsia="zh-CN"/>
        </w:rPr>
        <w:t>成效显著。这些已被验证的有效做法和成熟经验，应转化为立法层面的具体制度措施，予以更为强有力的保障，实现海洋环境保护的进一步规范化。同时，《规定</w:t>
      </w:r>
      <w:r>
        <w:rPr>
          <w:rFonts w:hint="eastAsia"/>
          <w:lang w:val="en-US" w:eastAsia="zh-CN"/>
        </w:rPr>
        <w:t>》的</w:t>
      </w:r>
      <w:r>
        <w:rPr>
          <w:rFonts w:hint="default"/>
          <w:lang w:val="en-US" w:eastAsia="zh-CN"/>
        </w:rPr>
        <w:t>修订充分考虑未来一段时期经济社会发展的需求，在为当前海洋环境保护奠定坚实基础的同时，也为具有海南特色的生态环保制度创新及其他部门规章、规范性文件的制定保留一定的空间，以适应未来一段时间海南发展面临的机遇与挑战。</w:t>
      </w:r>
    </w:p>
    <w:p>
      <w:pPr>
        <w:bidi w:val="0"/>
        <w:rPr>
          <w:rFonts w:hint="default"/>
          <w:lang w:val="en-US" w:eastAsia="zh-CN"/>
        </w:rPr>
      </w:pPr>
      <w:r>
        <w:rPr>
          <w:rFonts w:hint="default" w:ascii="Times New Roman" w:hAnsi="Times New Roman"/>
          <w:b/>
          <w:bCs/>
          <w:lang w:val="en-US" w:eastAsia="zh-CN"/>
        </w:rPr>
        <w:t>三是聚焦海洋环境保护关键领域，借鉴其他先进立法经验。</w:t>
      </w:r>
      <w:r>
        <w:rPr>
          <w:rFonts w:hint="default"/>
          <w:lang w:val="en-US" w:eastAsia="zh-CN"/>
        </w:rPr>
        <w:t>关注国家海洋环境保护和治理改革动态，充分调研借鉴其他省份探索经验、有效做法和先进举措成果，参酌全省海洋环境保护情况，将海洋垃圾综合治理、海水养殖环境监管、港口船舶污染防治等关键领域和工作实践总结提炼上升为具体制度措施，加大海洋环境质量管控、生态保护修复、污染防治力度，倒逼有关部门、企业事业单位和个人进一步落实生态保护和污染防治措施。</w:t>
      </w:r>
    </w:p>
    <w:p>
      <w:pPr>
        <w:bidi w:val="0"/>
        <w:rPr>
          <w:rFonts w:hint="default"/>
          <w:lang w:val="en-US" w:eastAsia="zh-CN"/>
        </w:rPr>
      </w:pPr>
      <w:r>
        <w:rPr>
          <w:rFonts w:hint="default" w:ascii="Times New Roman" w:hAnsi="Times New Roman"/>
          <w:b/>
          <w:bCs/>
          <w:lang w:val="en-US" w:eastAsia="zh-CN"/>
        </w:rPr>
        <w:t>四是完善海洋环境监管体制，构建多元共保共治格局。</w:t>
      </w:r>
      <w:r>
        <w:rPr>
          <w:rFonts w:hint="default"/>
          <w:lang w:val="en-US" w:eastAsia="zh-CN"/>
        </w:rPr>
        <w:t>全面贯彻落实国家和我省机构改革要求，进一步厘清生态环境、自然资源</w:t>
      </w:r>
      <w:r>
        <w:rPr>
          <w:rFonts w:hint="eastAsia"/>
          <w:lang w:val="en-US" w:eastAsia="zh-CN"/>
        </w:rPr>
        <w:t>和规划</w:t>
      </w:r>
      <w:r>
        <w:rPr>
          <w:rFonts w:hint="default"/>
          <w:lang w:val="en-US" w:eastAsia="zh-CN"/>
        </w:rPr>
        <w:t>、海洋、农业农村等相关部门海洋环境监管职责，明晰省、市（县）人民政府及其有关部门管理事权划分。以着力解决人民群众面临的突出问题为优先导向，支持和鼓励有关社会组织、科研机构、企业、个人等多方积极参与海洋生态环境保护和治理，以降低政府保护治理成本，增大治理成效，实现公共利益的最大化。</w:t>
      </w:r>
    </w:p>
    <w:p>
      <w:pPr>
        <w:bidi w:val="0"/>
        <w:outlineLvl w:val="0"/>
        <w:rPr>
          <w:rFonts w:hint="eastAsia"/>
          <w:lang w:val="en-US" w:eastAsia="zh-CN"/>
        </w:rPr>
      </w:pPr>
      <w:r>
        <w:rPr>
          <w:rFonts w:hint="eastAsia" w:ascii="黑体" w:hAnsi="黑体" w:eastAsia="黑体" w:cs="黑体"/>
          <w:lang w:val="en-US" w:eastAsia="zh-CN"/>
        </w:rPr>
        <w:t>三、修改的主要内容</w:t>
      </w:r>
    </w:p>
    <w:p>
      <w:pPr>
        <w:bidi w:val="0"/>
        <w:rPr>
          <w:rFonts w:hint="eastAsia"/>
          <w:color w:val="000000" w:themeColor="text1"/>
          <w:lang w:val="en-US" w:eastAsia="zh-CN"/>
          <w14:textFill>
            <w14:solidFill>
              <w14:schemeClr w14:val="tx1"/>
            </w14:solidFill>
          </w14:textFill>
        </w:rPr>
      </w:pPr>
      <w:r>
        <w:rPr>
          <w:rFonts w:hint="eastAsia"/>
          <w:lang w:val="en-US" w:eastAsia="zh-CN"/>
        </w:rPr>
        <w:t>修订草案按照“小切口”立法工作要求，对上位法和其他相关法律法规已作出规定的内容原则上不作重复规定。现行《规定》不分章节，共四十二条；修订后，共分七章五十五条，分别为总则、海洋监督管理、海洋生态保护、海洋环境污染防治、海洋环境应</w:t>
      </w:r>
      <w:r>
        <w:rPr>
          <w:rFonts w:hint="eastAsia"/>
          <w:color w:val="000000" w:themeColor="text1"/>
          <w:lang w:val="en-US" w:eastAsia="zh-CN"/>
          <w14:textFill>
            <w14:solidFill>
              <w14:schemeClr w14:val="tx1"/>
            </w14:solidFill>
          </w14:textFill>
        </w:rPr>
        <w:t>急管理、法律责任和附则，其中新增2</w:t>
      </w:r>
      <w:r>
        <w:rPr>
          <w:rFonts w:hint="default"/>
          <w:color w:val="000000" w:themeColor="text1"/>
          <w:lang w:eastAsia="zh-CN"/>
          <w14:textFill>
            <w14:solidFill>
              <w14:schemeClr w14:val="tx1"/>
            </w14:solidFill>
          </w14:textFill>
        </w:rPr>
        <w:t>3</w:t>
      </w:r>
      <w:r>
        <w:rPr>
          <w:rFonts w:hint="eastAsia"/>
          <w:color w:val="000000" w:themeColor="text1"/>
          <w:lang w:val="en-US" w:eastAsia="zh-CN"/>
          <w14:textFill>
            <w14:solidFill>
              <w14:schemeClr w14:val="tx1"/>
            </w14:solidFill>
          </w14:textFill>
        </w:rPr>
        <w:t>条，删除</w:t>
      </w:r>
      <w:r>
        <w:rPr>
          <w:rFonts w:hint="default"/>
          <w:color w:val="000000" w:themeColor="text1"/>
          <w:lang w:eastAsia="zh-CN"/>
          <w14:textFill>
            <w14:solidFill>
              <w14:schemeClr w14:val="tx1"/>
            </w14:solidFill>
          </w14:textFill>
        </w:rPr>
        <w:t>10</w:t>
      </w:r>
      <w:r>
        <w:rPr>
          <w:rFonts w:hint="eastAsia"/>
          <w:color w:val="000000" w:themeColor="text1"/>
          <w:lang w:val="en-US" w:eastAsia="zh-CN"/>
          <w14:textFill>
            <w14:solidFill>
              <w14:schemeClr w14:val="tx1"/>
            </w14:solidFill>
          </w14:textFill>
        </w:rPr>
        <w:t>条，内涵、内容重要调整的</w:t>
      </w:r>
      <w:r>
        <w:rPr>
          <w:rFonts w:hint="default"/>
          <w:color w:val="000000" w:themeColor="text1"/>
          <w:lang w:eastAsia="zh-CN"/>
          <w14:textFill>
            <w14:solidFill>
              <w14:schemeClr w14:val="tx1"/>
            </w14:solidFill>
          </w14:textFill>
        </w:rPr>
        <w:t>23</w:t>
      </w:r>
      <w:r>
        <w:rPr>
          <w:rFonts w:hint="eastAsia"/>
          <w:color w:val="000000" w:themeColor="text1"/>
          <w:lang w:val="en-US" w:eastAsia="zh-CN"/>
          <w14:textFill>
            <w14:solidFill>
              <w14:schemeClr w14:val="tx1"/>
            </w14:solidFill>
          </w14:textFill>
        </w:rPr>
        <w:t>条，个别文字微调的</w:t>
      </w:r>
      <w:r>
        <w:rPr>
          <w:rFonts w:hint="default"/>
          <w:color w:val="000000" w:themeColor="text1"/>
          <w:lang w:eastAsia="zh-CN"/>
          <w14:textFill>
            <w14:solidFill>
              <w14:schemeClr w14:val="tx1"/>
            </w14:solidFill>
          </w14:textFill>
        </w:rPr>
        <w:t>6</w:t>
      </w:r>
      <w:r>
        <w:rPr>
          <w:rFonts w:hint="eastAsia"/>
          <w:color w:val="000000" w:themeColor="text1"/>
          <w:lang w:val="en-US" w:eastAsia="zh-CN"/>
          <w14:textFill>
            <w14:solidFill>
              <w14:schemeClr w14:val="tx1"/>
            </w14:solidFill>
          </w14:textFill>
        </w:rPr>
        <w:t>条，保持不变的</w:t>
      </w:r>
      <w:r>
        <w:rPr>
          <w:rFonts w:hint="default"/>
          <w:color w:val="000000" w:themeColor="text1"/>
          <w:lang w:eastAsia="zh-CN"/>
          <w14:textFill>
            <w14:solidFill>
              <w14:schemeClr w14:val="tx1"/>
            </w14:solidFill>
          </w14:textFill>
        </w:rPr>
        <w:t>3</w:t>
      </w:r>
      <w:r>
        <w:rPr>
          <w:rFonts w:hint="eastAsia"/>
          <w:color w:val="000000" w:themeColor="text1"/>
          <w:lang w:val="en-US" w:eastAsia="zh-CN"/>
          <w14:textFill>
            <w14:solidFill>
              <w14:schemeClr w14:val="tx1"/>
            </w14:solidFill>
          </w14:textFill>
        </w:rPr>
        <w:t>条。主要修改内容如下：</w:t>
      </w:r>
    </w:p>
    <w:p>
      <w:pPr>
        <w:bidi w:val="0"/>
        <w:rPr>
          <w:rFonts w:hint="eastAsia" w:ascii="楷体_GB2312" w:hAnsi="楷体_GB2312" w:eastAsia="楷体_GB2312" w:cs="楷体_GB2312"/>
          <w:color w:val="000000" w:themeColor="text1"/>
          <w:lang w:val="en-US" w:eastAsia="zh-CN"/>
          <w14:textFill>
            <w14:solidFill>
              <w14:schemeClr w14:val="tx1"/>
            </w14:solidFill>
          </w14:textFill>
        </w:rPr>
      </w:pPr>
      <w:r>
        <w:rPr>
          <w:rFonts w:hint="eastAsia" w:ascii="楷体_GB2312" w:hAnsi="楷体_GB2312" w:eastAsia="楷体_GB2312" w:cs="楷体_GB2312"/>
          <w:color w:val="000000" w:themeColor="text1"/>
          <w:lang w:val="en-US" w:eastAsia="zh-CN"/>
          <w14:textFill>
            <w14:solidFill>
              <w14:schemeClr w14:val="tx1"/>
            </w14:solidFill>
          </w14:textFill>
        </w:rPr>
        <w:t>（一）总则</w:t>
      </w:r>
    </w:p>
    <w:p>
      <w:pPr>
        <w:bidi w:val="0"/>
        <w:rPr>
          <w:rFonts w:hint="eastAsia"/>
          <w:lang w:val="en-US" w:eastAsia="zh-CN"/>
        </w:rPr>
      </w:pPr>
      <w:r>
        <w:rPr>
          <w:rFonts w:hint="eastAsia"/>
          <w:lang w:val="en-US" w:eastAsia="zh-CN"/>
        </w:rPr>
        <w:t>一是完善立法目的和依据，增加保障生态安全和公众健康，建设海洋强省，推进生态文明建设的内容，增加《中华人民共和国海南自由贸易港法》作为立法依据。二是进一步明确部门和地方责任。贯彻落实我省机构改革方案以及“三定”规定，调整生态环境、自然资源和规划</w:t>
      </w:r>
      <w:bookmarkStart w:id="0" w:name="_GoBack"/>
      <w:bookmarkEnd w:id="0"/>
      <w:r>
        <w:rPr>
          <w:rFonts w:hint="eastAsia"/>
          <w:lang w:val="en-US" w:eastAsia="zh-CN"/>
        </w:rPr>
        <w:t>等主管部门的职责分工，增加海洋</w:t>
      </w:r>
      <w:r>
        <w:rPr>
          <w:rFonts w:hint="default"/>
          <w:lang w:eastAsia="zh-CN"/>
        </w:rPr>
        <w:t>、林业、住房和城乡建设、海洋和渔业监察总队</w:t>
      </w:r>
      <w:r>
        <w:rPr>
          <w:rFonts w:hint="eastAsia"/>
          <w:lang w:val="en-US" w:eastAsia="zh-CN"/>
        </w:rPr>
        <w:t>等</w:t>
      </w:r>
      <w:r>
        <w:rPr>
          <w:rFonts w:hint="default"/>
          <w:lang w:eastAsia="zh-CN"/>
        </w:rPr>
        <w:t>部门</w:t>
      </w:r>
      <w:r>
        <w:rPr>
          <w:rFonts w:hint="eastAsia"/>
          <w:lang w:val="en-US" w:eastAsia="zh-CN"/>
        </w:rPr>
        <w:t>海洋环境保护职责；明确省和沿海市县人民政府可以组织有关部门建立海洋生态环境执法协作机制。三是强化各级人民政府对海洋生态环境保护工作的统一领导，明确将海洋生态环境保护工作纳入本行政区国民经济和社会发展规划，并根据经济社会发展状况逐步加大海洋生态环境保护资金投入，鼓励多渠道筹措资金用于海洋生态环境保护相关工作。四是增加海洋生态环境保护公民义务，建立奖励机制；完善科学技术研究和宣传教育等规定。五是修改海洋环境保护考核评价和报告制度。</w:t>
      </w:r>
    </w:p>
    <w:p>
      <w:pPr>
        <w:bidi w:val="0"/>
        <w:rPr>
          <w:rFonts w:hint="eastAsia" w:ascii="楷体_GB2312" w:hAnsi="楷体_GB2312" w:eastAsia="楷体_GB2312" w:cs="楷体_GB2312"/>
          <w:color w:val="000000" w:themeColor="text1"/>
          <w:lang w:val="en-US" w:eastAsia="zh-CN"/>
          <w14:textFill>
            <w14:solidFill>
              <w14:schemeClr w14:val="tx1"/>
            </w14:solidFill>
          </w14:textFill>
        </w:rPr>
      </w:pPr>
      <w:r>
        <w:rPr>
          <w:rFonts w:hint="eastAsia" w:ascii="楷体_GB2312" w:hAnsi="楷体_GB2312" w:eastAsia="楷体_GB2312" w:cs="楷体_GB2312"/>
          <w:color w:val="000000" w:themeColor="text1"/>
          <w:lang w:val="en-US" w:eastAsia="zh-CN"/>
          <w14:textFill>
            <w14:solidFill>
              <w14:schemeClr w14:val="tx1"/>
            </w14:solidFill>
          </w14:textFill>
        </w:rPr>
        <w:t>（二）海洋环境监督管理</w:t>
      </w:r>
    </w:p>
    <w:p>
      <w:pPr>
        <w:bidi w:val="0"/>
        <w:rPr>
          <w:rFonts w:hint="eastAsia"/>
          <w:lang w:val="en-US" w:eastAsia="zh-CN"/>
        </w:rPr>
      </w:pPr>
      <w:r>
        <w:rPr>
          <w:rFonts w:hint="eastAsia"/>
          <w:lang w:val="en-US" w:eastAsia="zh-CN"/>
        </w:rPr>
        <w:t>充分衔接上位法最新要求，完善相关制度机制。一是增加海洋生态保护红线、生态环境分区管控方案划定和管理要求。二是依据职责分工修改海洋生态环境保护规划制定主体，同时规定海洋生态环境保护规划应当与国土空间规划、生态环境保护规划相衔接，其他行业发展规划应当与海洋生态环境保护规划相协调。三是明确各级政府应协同推进海湾综合治理和美丽海湾建设，删除上位法不再推行的重点海域排污总量控制制度，按照国家和本省有关规定增加环评“区域限批”制度。四是优化海洋生态环境监测调查体系，依据职责分工增加海洋生态环境质量状况调查、海洋资源调查、海洋生态预警监测等规定，加强海洋环境管理信息共享。</w:t>
      </w:r>
    </w:p>
    <w:p>
      <w:pPr>
        <w:bidi w:val="0"/>
        <w:rPr>
          <w:rFonts w:hint="eastAsia" w:ascii="楷体_GB2312" w:hAnsi="楷体_GB2312" w:eastAsia="楷体_GB2312" w:cs="楷体_GB2312"/>
          <w:color w:val="000000" w:themeColor="text1"/>
          <w:lang w:val="en-US" w:eastAsia="zh-CN"/>
          <w14:textFill>
            <w14:solidFill>
              <w14:schemeClr w14:val="tx1"/>
            </w14:solidFill>
          </w14:textFill>
        </w:rPr>
      </w:pPr>
      <w:r>
        <w:rPr>
          <w:rFonts w:hint="eastAsia" w:ascii="楷体_GB2312" w:hAnsi="楷体_GB2312" w:eastAsia="楷体_GB2312" w:cs="楷体_GB2312"/>
          <w:color w:val="000000" w:themeColor="text1"/>
          <w:lang w:val="en-US" w:eastAsia="zh-CN"/>
          <w14:textFill>
            <w14:solidFill>
              <w14:schemeClr w14:val="tx1"/>
            </w14:solidFill>
          </w14:textFill>
        </w:rPr>
        <w:t>（三）海洋生态保护</w:t>
      </w:r>
    </w:p>
    <w:p>
      <w:pPr>
        <w:bidi w:val="0"/>
        <w:rPr>
          <w:rFonts w:hint="eastAsia"/>
          <w:lang w:val="en-US" w:eastAsia="zh-CN"/>
        </w:rPr>
      </w:pPr>
      <w:r>
        <w:rPr>
          <w:rFonts w:hint="eastAsia"/>
          <w:lang w:val="en-US" w:eastAsia="zh-CN"/>
        </w:rPr>
        <w:t>一是根据国家和本省自然保护地建设总体要求，修改海洋类自然保护地选划相关规定，删除海洋特别保护区划定和管理要求。二是增加保护海洋生物多样性，巩固和提升典型生态系统碳汇能力相关要求，增加制定海洋生态环境综合整治和生态修复计划相关规定。三是增加开发利用海洋资源有关规定。四是细化上位法关于海岸线分类保护与利用制度、自然岸线保有率控制制度、海岸建筑退缩线制度的有关规定。五是修改外来物种管理制度，修改审批部门，增加外来物种普查和监测制度建设要求。六是细化落实上位法有关增殖放流的规定，增加人工鱼礁材料无害化要求。</w:t>
      </w:r>
    </w:p>
    <w:p>
      <w:pPr>
        <w:bidi w:val="0"/>
        <w:rPr>
          <w:rFonts w:hint="eastAsia" w:ascii="楷体_GB2312" w:hAnsi="楷体_GB2312" w:eastAsia="楷体_GB2312" w:cs="楷体_GB2312"/>
          <w:color w:val="000000" w:themeColor="text1"/>
          <w:lang w:val="en-US" w:eastAsia="zh-CN"/>
          <w14:textFill>
            <w14:solidFill>
              <w14:schemeClr w14:val="tx1"/>
            </w14:solidFill>
          </w14:textFill>
        </w:rPr>
      </w:pPr>
      <w:r>
        <w:rPr>
          <w:rFonts w:hint="eastAsia" w:ascii="楷体_GB2312" w:hAnsi="楷体_GB2312" w:eastAsia="楷体_GB2312" w:cs="楷体_GB2312"/>
          <w:color w:val="000000" w:themeColor="text1"/>
          <w:lang w:val="en-US" w:eastAsia="zh-CN"/>
          <w14:textFill>
            <w14:solidFill>
              <w14:schemeClr w14:val="tx1"/>
            </w14:solidFill>
          </w14:textFill>
        </w:rPr>
        <w:t>（四）海洋环境污染防治</w:t>
      </w:r>
    </w:p>
    <w:p>
      <w:pPr>
        <w:bidi w:val="0"/>
        <w:rPr>
          <w:rFonts w:hint="eastAsia"/>
          <w:lang w:val="en-US" w:eastAsia="zh-CN"/>
        </w:rPr>
      </w:pPr>
      <w:r>
        <w:rPr>
          <w:rFonts w:hint="eastAsia"/>
          <w:lang w:val="en-US" w:eastAsia="zh-CN"/>
        </w:rPr>
        <w:t>坚持陆海统筹，针对本省海洋生态环境突出问题，以海水养殖、入海排污口、海洋垃圾、港口船舶等陆海污染源为管控重点，加强污染防治。一是完善海水养殖污染防治，按照国家和本省关于海水养殖生态环境监管要求，增加养殖三区划定和分区管控要求，明确海水养殖用药、养殖尾水及环境监测要求，鼓励养殖尾水集中收集处理、生态化处理和资源利用，规定养殖尾水排放应当符合本省水产养殖尾水排放标准。二是根据国家排污口监督管理改革要求，强化入海排污口监管，明确入海排污口排查溯源、分类整治和日常管理属地管理职责，规定本省实行分类管理，依据上位法修改入海排污口设置要求。三是增加入海河流、开放式沟渠环境管理要求，完善沿海地区污水收集处理相关规定。四是增加海上环卫制度，明确沿海市县人民政府建立实施海上环卫制度主体责任，规定其他依法使用海域或者岸滩的单位和个人对其用海区域的海洋垃圾治理责任。五是修改新建、改建、扩建海岸和海洋工程建设项目的环境影响评价有关规定，明确海上风电、海底电缆等本省重点工程建设项目环境保护要求。六是修改港口、船舶及相关作业活动污染防治要求，增加渔港</w:t>
      </w:r>
      <w:r>
        <w:rPr>
          <w:rFonts w:hint="default"/>
          <w:lang w:eastAsia="zh-CN"/>
        </w:rPr>
        <w:t>和游艇等海洋文旅新业态</w:t>
      </w:r>
      <w:r>
        <w:rPr>
          <w:rFonts w:hint="eastAsia"/>
          <w:lang w:val="en-US" w:eastAsia="zh-CN"/>
        </w:rPr>
        <w:t>环境管理有关规定，明确沿海市县政府建立船舶污染物联合监管制度。七是删除上位法已有明确规定的废弃物倾倒管理要求。</w:t>
      </w:r>
    </w:p>
    <w:p>
      <w:pPr>
        <w:bidi w:val="0"/>
        <w:rPr>
          <w:rFonts w:hint="eastAsia" w:ascii="楷体_GB2312" w:hAnsi="楷体_GB2312" w:eastAsia="楷体_GB2312" w:cs="楷体_GB2312"/>
          <w:color w:val="000000" w:themeColor="text1"/>
          <w:lang w:val="en-US" w:eastAsia="zh-CN"/>
          <w14:textFill>
            <w14:solidFill>
              <w14:schemeClr w14:val="tx1"/>
            </w14:solidFill>
          </w14:textFill>
        </w:rPr>
      </w:pPr>
      <w:r>
        <w:rPr>
          <w:rFonts w:hint="eastAsia" w:ascii="楷体_GB2312" w:hAnsi="楷体_GB2312" w:eastAsia="楷体_GB2312" w:cs="楷体_GB2312"/>
          <w:color w:val="000000" w:themeColor="text1"/>
          <w:lang w:val="en-US" w:eastAsia="zh-CN"/>
          <w14:textFill>
            <w14:solidFill>
              <w14:schemeClr w14:val="tx1"/>
            </w14:solidFill>
          </w14:textFill>
        </w:rPr>
        <w:t>（五）海洋环境应急管理</w:t>
      </w:r>
    </w:p>
    <w:p>
      <w:pPr>
        <w:bidi w:val="0"/>
        <w:rPr>
          <w:rFonts w:hint="eastAsia"/>
          <w:lang w:val="en-US" w:eastAsia="zh-CN"/>
        </w:rPr>
      </w:pPr>
      <w:r>
        <w:rPr>
          <w:rFonts w:hint="eastAsia"/>
          <w:lang w:val="en-US" w:eastAsia="zh-CN"/>
        </w:rPr>
        <w:t>一是强化海洋突发环境事件应急处置，要求发生海洋灾害、海洋环境污染事件时，省和沿海市县人民政府应及时启动应急预案，采取有效措施，解除或者减轻危害。二是规定沿海石油、化工、造纸及其他可能发生海洋突发环境事件的单位编制的应急预案应向沿海市县生态环境主管部门和行业主管部门备案。</w:t>
      </w:r>
    </w:p>
    <w:p>
      <w:pPr>
        <w:bidi w:val="0"/>
        <w:rPr>
          <w:rFonts w:hint="eastAsia" w:ascii="楷体_GB2312" w:hAnsi="楷体_GB2312" w:eastAsia="楷体_GB2312" w:cs="楷体_GB2312"/>
          <w:color w:val="000000" w:themeColor="text1"/>
          <w:lang w:val="en-US" w:eastAsia="zh-CN"/>
          <w14:textFill>
            <w14:solidFill>
              <w14:schemeClr w14:val="tx1"/>
            </w14:solidFill>
          </w14:textFill>
        </w:rPr>
      </w:pPr>
      <w:r>
        <w:rPr>
          <w:rFonts w:hint="eastAsia" w:ascii="楷体_GB2312" w:hAnsi="楷体_GB2312" w:eastAsia="楷体_GB2312" w:cs="楷体_GB2312"/>
          <w:color w:val="000000" w:themeColor="text1"/>
          <w:lang w:val="en-US" w:eastAsia="zh-CN"/>
          <w14:textFill>
            <w14:solidFill>
              <w14:schemeClr w14:val="tx1"/>
            </w14:solidFill>
          </w14:textFill>
        </w:rPr>
        <w:t>（六）法律责任</w:t>
      </w:r>
    </w:p>
    <w:p>
      <w:pPr>
        <w:bidi w:val="0"/>
        <w:rPr>
          <w:rFonts w:hint="default"/>
          <w:lang w:val="en-US" w:eastAsia="zh-CN"/>
        </w:rPr>
      </w:pPr>
      <w:r>
        <w:rPr>
          <w:rFonts w:hint="eastAsia"/>
          <w:lang w:val="en-US" w:eastAsia="zh-CN"/>
        </w:rPr>
        <w:t>一是删除非法采挖海砂等上位法已有明确处罚规定的条款；二是结合部门职责和相关法规要求，修改未制定应急预案</w:t>
      </w:r>
      <w:r>
        <w:rPr>
          <w:rFonts w:hint="default"/>
          <w:lang w:eastAsia="zh-CN"/>
        </w:rPr>
        <w:t>、</w:t>
      </w:r>
      <w:r>
        <w:rPr>
          <w:rFonts w:hint="eastAsia"/>
          <w:lang w:val="en-US" w:eastAsia="zh-CN"/>
        </w:rPr>
        <w:t>未经批准引进外来物种</w:t>
      </w:r>
      <w:r>
        <w:rPr>
          <w:rFonts w:hint="default"/>
          <w:lang w:eastAsia="zh-CN"/>
        </w:rPr>
        <w:t>、超标排放海水养殖废水等</w:t>
      </w:r>
      <w:r>
        <w:rPr>
          <w:rFonts w:hint="eastAsia"/>
          <w:lang w:val="en-US" w:eastAsia="zh-CN"/>
        </w:rPr>
        <w:t>法律责任；三是</w:t>
      </w:r>
      <w:r>
        <w:rPr>
          <w:rFonts w:hint="default"/>
          <w:lang w:eastAsia="zh-CN"/>
        </w:rPr>
        <w:t>增加</w:t>
      </w:r>
      <w:r>
        <w:rPr>
          <w:rFonts w:hint="eastAsia"/>
          <w:lang w:val="en-US" w:eastAsia="zh-CN"/>
        </w:rPr>
        <w:t>海洋生态环境损害赔偿权利人和一般程序</w:t>
      </w:r>
      <w:r>
        <w:rPr>
          <w:rFonts w:hint="default"/>
          <w:lang w:eastAsia="zh-CN"/>
        </w:rPr>
        <w:t>有关规定</w:t>
      </w:r>
      <w:r>
        <w:rPr>
          <w:rFonts w:hint="eastAsia"/>
          <w:lang w:val="en-US" w:eastAsia="zh-CN"/>
        </w:rPr>
        <w:t>。</w:t>
      </w:r>
    </w:p>
    <w:sectPr>
      <w:footerReference r:id="rId5" w:type="default"/>
      <w:pgSz w:w="11906" w:h="16838"/>
      <w:pgMar w:top="1440" w:right="1800" w:bottom="1440" w:left="1800" w:header="851" w:footer="850"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keepNext w:val="0"/>
                            <w:keepLines w:val="0"/>
                            <w:pageBreakBefore w:val="0"/>
                            <w:widowControl w:val="0"/>
                            <w:kinsoku/>
                            <w:wordWrap/>
                            <w:overflowPunct/>
                            <w:topLinePunct w:val="0"/>
                            <w:bidi w:val="0"/>
                            <w:adjustRightInd/>
                            <w:snapToGrid w:val="0"/>
                            <w:ind w:left="640" w:leftChars="200" w:right="640" w:rightChars="200" w:firstLine="0" w:firstLine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7"/>
                      <w:keepNext w:val="0"/>
                      <w:keepLines w:val="0"/>
                      <w:pageBreakBefore w:val="0"/>
                      <w:widowControl w:val="0"/>
                      <w:kinsoku/>
                      <w:wordWrap/>
                      <w:overflowPunct/>
                      <w:topLinePunct w:val="0"/>
                      <w:bidi w:val="0"/>
                      <w:adjustRightInd/>
                      <w:snapToGrid w:val="0"/>
                      <w:ind w:left="640" w:leftChars="200" w:right="640" w:rightChars="200" w:firstLine="0" w:firstLine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4D695A"/>
    <w:multiLevelType w:val="singleLevel"/>
    <w:tmpl w:val="E14D695A"/>
    <w:lvl w:ilvl="0" w:tentative="0">
      <w:start w:val="1"/>
      <w:numFmt w:val="bullet"/>
      <w:pStyle w:val="5"/>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5YTk2NWU3OTRhNTU0YjZlNWE0ODExMjY4YzM0MTgifQ=="/>
  </w:docVars>
  <w:rsids>
    <w:rsidRoot w:val="00000000"/>
    <w:rsid w:val="007F351F"/>
    <w:rsid w:val="0FDF1EAB"/>
    <w:rsid w:val="106D4394"/>
    <w:rsid w:val="12FFFB50"/>
    <w:rsid w:val="234C6E92"/>
    <w:rsid w:val="25602D5E"/>
    <w:rsid w:val="25777D91"/>
    <w:rsid w:val="29DD29B0"/>
    <w:rsid w:val="2B232F10"/>
    <w:rsid w:val="2B313F8C"/>
    <w:rsid w:val="32CE3E4C"/>
    <w:rsid w:val="4AF504AD"/>
    <w:rsid w:val="5BFB2196"/>
    <w:rsid w:val="6270794F"/>
    <w:rsid w:val="69343A7B"/>
    <w:rsid w:val="70C37D96"/>
    <w:rsid w:val="77F76483"/>
    <w:rsid w:val="797F9EA9"/>
    <w:rsid w:val="7B6B4E25"/>
    <w:rsid w:val="7B8BB0B8"/>
    <w:rsid w:val="7CFD110F"/>
    <w:rsid w:val="7F7F721B"/>
    <w:rsid w:val="B3871FB8"/>
    <w:rsid w:val="B77FF0F7"/>
    <w:rsid w:val="B7ACDA2A"/>
    <w:rsid w:val="EBB9667A"/>
    <w:rsid w:val="F7D639B4"/>
    <w:rsid w:val="FBF71F2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420" w:firstLineChars="200"/>
      <w:jc w:val="both"/>
    </w:pPr>
    <w:rPr>
      <w:rFonts w:ascii="仿宋_GB2312" w:hAnsi="仿宋_GB2312" w:eastAsia="仿宋_GB2312" w:cstheme="minorBidi"/>
      <w:kern w:val="2"/>
      <w:sz w:val="32"/>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outlineLvl w:val="0"/>
    </w:pPr>
    <w:rPr>
      <w:rFonts w:eastAsia="黑体"/>
      <w:kern w:val="44"/>
      <w:sz w:val="32"/>
    </w:rPr>
  </w:style>
  <w:style w:type="paragraph" w:styleId="3">
    <w:name w:val="heading 2"/>
    <w:basedOn w:val="1"/>
    <w:next w:val="1"/>
    <w:semiHidden/>
    <w:unhideWhenUsed/>
    <w:qFormat/>
    <w:uiPriority w:val="0"/>
    <w:pPr>
      <w:keepNext/>
      <w:keepLines/>
      <w:spacing w:beforeLines="0" w:beforeAutospacing="0" w:afterLines="0" w:afterAutospacing="0" w:line="560" w:lineRule="exact"/>
      <w:outlineLvl w:val="1"/>
    </w:pPr>
    <w:rPr>
      <w:rFonts w:ascii="Arial" w:hAnsi="Arial" w:eastAsia="楷体_GB2312"/>
      <w:b/>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spacing w:before="156" w:beforeLines="50" w:line="400" w:lineRule="exact"/>
      <w:ind w:firstLine="200" w:firstLineChars="200"/>
    </w:pPr>
    <w:rPr>
      <w:rFonts w:ascii="Arial" w:hAnsi="Arial"/>
      <w:kern w:val="0"/>
      <w:sz w:val="24"/>
    </w:rPr>
  </w:style>
  <w:style w:type="paragraph" w:styleId="5">
    <w:name w:val="List Bullet 5"/>
    <w:basedOn w:val="1"/>
    <w:qFormat/>
    <w:uiPriority w:val="0"/>
    <w:pPr>
      <w:numPr>
        <w:ilvl w:val="0"/>
        <w:numId w:val="1"/>
      </w:numPr>
    </w:pPr>
  </w:style>
  <w:style w:type="paragraph" w:styleId="6">
    <w:name w:val="Body Text Indent 2"/>
    <w:basedOn w:val="1"/>
    <w:qFormat/>
    <w:uiPriority w:val="0"/>
    <w:pPr>
      <w:ind w:firstLine="643"/>
    </w:pPr>
  </w:style>
  <w:style w:type="paragraph" w:styleId="7">
    <w:name w:val="footer"/>
    <w:basedOn w:val="1"/>
    <w:qFormat/>
    <w:uiPriority w:val="0"/>
    <w:pPr>
      <w:tabs>
        <w:tab w:val="center" w:pos="4153"/>
        <w:tab w:val="right" w:pos="8306"/>
      </w:tabs>
      <w:snapToGrid w:val="0"/>
      <w:ind w:firstLine="0" w:firstLineChars="0"/>
      <w:jc w:val="center"/>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1">
    <w:name w:val="Strong"/>
    <w:basedOn w:val="10"/>
    <w:qFormat/>
    <w:uiPriority w:val="0"/>
    <w:rPr>
      <w:b/>
    </w:rPr>
  </w:style>
  <w:style w:type="paragraph" w:customStyle="1" w:styleId="12">
    <w:name w:val="表格文字"/>
    <w:basedOn w:val="1"/>
    <w:qFormat/>
    <w:uiPriority w:val="99"/>
    <w:pPr>
      <w:spacing w:line="300" w:lineRule="auto"/>
    </w:pPr>
    <w:rPr>
      <w:rFonts w:ascii="Times New Roman" w:hAnsi="Times New Roman" w:eastAsia="宋体"/>
      <w:spacing w:val="10"/>
    </w:rPr>
  </w:style>
  <w:style w:type="paragraph" w:customStyle="1" w:styleId="13">
    <w:name w:val="鐘的正文"/>
    <w:qFormat/>
    <w:uiPriority w:val="0"/>
    <w:pPr>
      <w:widowControl w:val="0"/>
      <w:spacing w:line="560" w:lineRule="exact"/>
      <w:ind w:firstLine="640"/>
      <w:jc w:val="both"/>
    </w:pPr>
    <w:rPr>
      <w:rFonts w:ascii="仿宋_GB2312" w:hAnsi="仿宋_GB2312" w:eastAsia="仿宋_GB2312" w:cstheme="minorBidi"/>
      <w:sz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3655</Words>
  <Characters>3693</Characters>
  <Lines>0</Lines>
  <Paragraphs>0</Paragraphs>
  <TotalTime>9</TotalTime>
  <ScaleCrop>false</ScaleCrop>
  <LinksUpToDate>false</LinksUpToDate>
  <CharactersWithSpaces>3693</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2023-05-25T18:47:00Z</dcterms:created>
  <dc:creator>Administrator</dc:creator>
  <cp:lastModifiedBy>uos</cp:lastModifiedBy>
  <cp:lastPrinted>2025-05-21T17:17:00Z</cp:lastPrinted>
  <dcterms:modified xsi:type="dcterms:W3CDTF">2025-07-21T17:21:50Z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9640AD3DF217C19EF2A979689A3BF046_43</vt:lpwstr>
  </property>
  <property fmtid="{D5CDD505-2E9C-101B-9397-08002B2CF9AE}" pid="4" name="KSOTemplateDocerSaveRecord">
    <vt:lpwstr>eyJoZGlkIjoiNGU5YTk2NWU3OTRhNTU0YjZlNWE0ODExMjY4YzM0MTgiLCJ1c2VySWQiOiI1OTMwNTA1MTEifQ==</vt:lpwstr>
  </property>
</Properties>
</file>