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C4B71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2</w:t>
      </w:r>
    </w:p>
    <w:p w14:paraId="1A8AD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lang w:val="en-US" w:eastAsia="zh-CN"/>
        </w:rPr>
        <w:t>2026年三亚科技</w:t>
      </w:r>
      <w:r>
        <w:rPr>
          <w:rFonts w:hint="eastAsia" w:ascii="Times New Roman" w:hAnsi="Times New Roman" w:eastAsia="方正小标宋简体" w:cs="Times New Roman"/>
          <w:b/>
          <w:bCs/>
          <w:sz w:val="44"/>
          <w:lang w:val="en-US" w:eastAsia="zh-CN"/>
        </w:rPr>
        <w:t>“</w:t>
      </w:r>
      <w:r>
        <w:rPr>
          <w:rFonts w:hint="default" w:ascii="Times New Roman" w:hAnsi="Times New Roman" w:eastAsia="方正小标宋简体" w:cs="Times New Roman"/>
          <w:b/>
          <w:bCs/>
          <w:sz w:val="44"/>
          <w:lang w:val="en-US" w:eastAsia="zh-CN"/>
        </w:rPr>
        <w:t>繁星</w:t>
      </w:r>
      <w:r>
        <w:rPr>
          <w:rFonts w:hint="eastAsia" w:ascii="Times New Roman" w:hAnsi="Times New Roman" w:eastAsia="方正小标宋简体" w:cs="Times New Roman"/>
          <w:b/>
          <w:bCs/>
          <w:sz w:val="44"/>
          <w:lang w:val="en-US" w:eastAsia="zh-CN"/>
        </w:rPr>
        <w:t>”</w:t>
      </w:r>
      <w:r>
        <w:rPr>
          <w:rFonts w:hint="default" w:ascii="Times New Roman" w:hAnsi="Times New Roman" w:eastAsia="方正小标宋简体" w:cs="Times New Roman"/>
          <w:b/>
          <w:bCs/>
          <w:sz w:val="44"/>
          <w:lang w:val="en-US" w:eastAsia="zh-CN"/>
        </w:rPr>
        <w:t>专项科研项目</w:t>
      </w:r>
    </w:p>
    <w:p w14:paraId="50EBF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2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44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lang w:val="en-US" w:eastAsia="zh-CN"/>
        </w:rPr>
        <w:t>申报指南（征求意见稿）</w:t>
      </w:r>
    </w:p>
    <w:p w14:paraId="18E46300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年三亚市科技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“繁星”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专项聚焦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重点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产业科技创新发展需求，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解决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我市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highlight w:val="none"/>
        </w:rPr>
        <w:t>高新技术、现代农业、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highlight w:val="none"/>
          <w:lang w:val="en-US" w:eastAsia="zh-CN"/>
        </w:rPr>
        <w:t>深海科技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highlight w:val="none"/>
        </w:rPr>
        <w:t>等领域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的关键核心技术，开展基础研究、应用技术研究、集成创新和引进消化吸收再创新，落实全市经济社会发展和科技发展规划部署，促进科技成果转化。</w:t>
      </w:r>
    </w:p>
    <w:p w14:paraId="0693D737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一、申报要求</w:t>
      </w:r>
    </w:p>
    <w:p w14:paraId="31CE3189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项目申报单位应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成立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满一年以上的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在三亚市行政区域内注册的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企事业单位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（含民办非企业）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新型研发机构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有独立法人资格。重点科研院校设立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分支机构，其分支机构主要的研发活动和业务均在我市开展，具备独立组织实施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科技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项目的条件，可适当放宽独立法人资格的要求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。项目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不受理个人申报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</w:p>
    <w:p w14:paraId="3C1B40F3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项目申报单位运行管理规范，具有与项目实施相匹配的基础条件，财务状况良好，有研发经费投入，具有完成项目所必备的人才条件和技术装备等匹配条件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</w:p>
    <w:p w14:paraId="553AC1E3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bidi="ar"/>
        </w:rPr>
        <w:t>鼓励企业牵头或产学研联合申报，联合申报单位不超过4家（含牵头单位）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shd w:val="clear" w:color="auto" w:fill="FFFFFF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两家及两家以上单位联合申请的项目，应提交项目合作协议。合作协议应明确各方的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职责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、研究内容、成果提交的时限、经费分配方式、知识产权归属、法律责任等主要内容，并经各方法人单位盖章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</w:p>
    <w:p w14:paraId="74E274A8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（四）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项目研发、产业化示范或应用应在三亚市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区域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内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</w:p>
    <w:p w14:paraId="6934F35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项目组成员、承担单位和参与单位具有良好的信誉。</w:t>
      </w:r>
    </w:p>
    <w:p w14:paraId="76050A2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（六）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项目负责人为在职人员，在相关技术领域具有较高的学术水平，熟悉本领域国内外技术和市场动态及发展趋势，具有完成项目所需的组织管理和协调能力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</w:p>
    <w:p w14:paraId="31C69384"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bidi w:val="0"/>
        <w:adjustRightInd/>
        <w:snapToGrid/>
        <w:spacing w:beforeLines="0" w:afterLines="0" w:line="52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（七）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作为项目负责人，当年申报的市级科技项目不能超过1项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，且作为参与人最多只能参与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2项项目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；已承担1项（含）以上市级科技项目的项目负责人，在项目未验收前不得申报本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批次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同等条件下优先支持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35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岁以下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的青年人才申报项目，青年人才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担任项目负责人和骨干的比例原则上不低于50%。符合条件的港澳台地区人才、外籍人才可按规定担任科技项目负责人。</w:t>
      </w:r>
    </w:p>
    <w:p w14:paraId="3E2210D2"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（八）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事业单位申报（含合作单位），按不低于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财政资助金额的1∶1配套（事业单位配套资金可由合作企业出资）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企业单位申报（含合作单位），按不低于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财政资助金额的1∶2配套。例如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事业单位和企业联合申报100万元财政经费项目，其中事业单位申请财政经费50万元，需配套50万元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企业单位申请财政经费50万元，需配套100万元。</w:t>
      </w:r>
    </w:p>
    <w:p w14:paraId="135DD683"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（九）企业牵头或参与申报项目，现场核查时，需提供配套资金来源的佐证材料，否则不予立项。原则上企业的净资产总额或净利润等，需高于企业所有申报项目承诺配套资金的总和。</w:t>
      </w:r>
    </w:p>
    <w:p w14:paraId="2E8E8A67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 w:bidi="ar"/>
        </w:rPr>
        <w:t>（十）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bidi="ar"/>
        </w:rPr>
        <w:t>对于项目承担单位的配套资金，不得使用货币资金之外的资产作为配套资金来源。非公益一类事业单位用于项目组成员的人力成本可计为配套资金。项目执行期内（含追溯期）项目承担单位横向科研项目经费，可作为研发专项的配套资金。鼓励项目承担单位先行投入项目研发，从立项之日起追溯期最长不超过6个月。</w:t>
      </w:r>
    </w:p>
    <w:p w14:paraId="360839A8"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 w:bidi="ar"/>
        </w:rPr>
        <w:t>（十一）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bidi="ar"/>
        </w:rPr>
        <w:t>项目承担单位应当全面落实科研财务助理制度，确保每个项目配有相对固定的科研财务助理，为科研人员在预算编制、经费报销等方面提供专业化服务。科研财务助理所需人力成本费用（含社会保险补助、住房公积金），可在项目直接经费中的“劳务费”中列支。</w:t>
      </w:r>
    </w:p>
    <w:p w14:paraId="23B32D73"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 w:bidi="ar"/>
        </w:rPr>
        <w:t>（十二）预算经费应纳入单位财务统一管理，对市财政资金和项目承担单位其他来源资金分别单独核算，确保专款专用。</w:t>
      </w:r>
    </w:p>
    <w:p w14:paraId="2B92E2E0"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 w:bidi="ar"/>
        </w:rPr>
        <w:t>（十三）涉及生命与健康领域的项目须遵循生物安全及伦理相关法规。相关单位应建立资质合格的伦理审查委员会，对科研活动加强审查和监管；科研人员应自觉接受伦理审查和监管。涉及人的生物医学研究应执行《涉及人的生物医学研究伦理审查办法》等规定。以人个体或群体（包括医疗健康信息）为研究对象的临床研究，必须通过医学研究登记备案信息系统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 w:bidi="ar"/>
        </w:rPr>
        <w:instrText xml:space="preserve"> HYPERLINK "/home/user/文档\\x/http://www.medicalresearch.xn--org)-3e9gs74ao49a6p9a/" \t "/home/user/文档\\x/_blank" </w:instrTex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 w:bidi="ar"/>
        </w:rPr>
        <w:fldChar w:fldCharType="separate"/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bidi="ar"/>
        </w:rPr>
        <w:t>www.medicalresearch.org）完成登记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 w:bidi="ar"/>
        </w:rPr>
        <w:t>，并通过医院举行的科学性及伦理审查，获得学术委员会审批意见及伦理批件。涉及人类遗传资源的研究应执行《中华人民共和国人类遗传资源管理条例》等法规。涉及生物技术的研究应遵守《生物技术研究开发安全管理办法》等规章。涉及病原微生物的研究须遵守《病原微生物实验室生物安全管理条例》等法规。涉及实验动物和动物实验的，应遵守国家实验动物管理的法律、法规、技术标准及有关规定，使用合格实验动物，在合格设施内进行动物实验，保证实验过程合法，实验结果真实、有效。涉及动物福利的项目或课题需完成动物伦理审查并获得伦理批件。开展动物实验的单位需提供《实验动物使用许可证》。</w:t>
      </w:r>
    </w:p>
    <w:p w14:paraId="51B80B7B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十四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）有以下情况之一的不予支持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：</w:t>
      </w:r>
    </w:p>
    <w:p w14:paraId="358B9816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1.已获得国家、省、市科研项目支持且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项目研究内容重复率20%以上视为雷同项目,不予立项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；</w:t>
      </w:r>
    </w:p>
    <w:p w14:paraId="2EA03809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2.企业单位有历史遗留项目未完成整改的；</w:t>
      </w:r>
    </w:p>
    <w:p w14:paraId="7F663AB3"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20" w:lineRule="exact"/>
        <w:ind w:firstLine="645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.有知识产权权属纠纷的项目；</w:t>
      </w:r>
    </w:p>
    <w:p w14:paraId="42270C96"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overflowPunct/>
        <w:topLinePunct w:val="0"/>
        <w:autoSpaceDE/>
        <w:autoSpaceDN w:val="0"/>
        <w:bidi w:val="0"/>
        <w:adjustRightInd/>
        <w:snapToGrid/>
        <w:spacing w:line="520" w:lineRule="exact"/>
        <w:ind w:firstLine="645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.影响社会协调发展、不符合国家节能降耗方向及环境保护政策的项目。</w:t>
      </w:r>
    </w:p>
    <w:p w14:paraId="65B7BE5F">
      <w:pPr>
        <w:keepNext w:val="0"/>
        <w:keepLines w:val="0"/>
        <w:pageBreakBefore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solid" w:color="FFFFFF" w:fill="auto"/>
        <w:kinsoku/>
        <w:overflowPunct/>
        <w:topLinePunct w:val="0"/>
        <w:autoSpaceDE/>
        <w:autoSpaceDN w:val="0"/>
        <w:bidi w:val="0"/>
        <w:adjustRightInd/>
        <w:snapToGrid/>
        <w:spacing w:line="520" w:lineRule="exact"/>
        <w:ind w:firstLine="645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（十五）为促进脑机接口、人—非人动物嵌合体等领域的规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范研究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相关科研机构和科研人员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应遵循《脑机接口研究伦理指引》和《人—非人动物嵌合体研究伦理指引》。</w:t>
      </w:r>
    </w:p>
    <w:p w14:paraId="56E39474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二、现场核查</w:t>
      </w:r>
    </w:p>
    <w:p w14:paraId="22DF593A"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拟立项项目进行现场核查时，企业单位（含合作单位）需提供以下材料：</w:t>
      </w:r>
    </w:p>
    <w:p w14:paraId="71D59DA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年度审计报告（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需披露研发费用情况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、会计报表、完税证明材料等。</w:t>
      </w:r>
    </w:p>
    <w:p w14:paraId="79F0DD88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项目组人员学历、职称证明等，如属临时聘请或合作的研发人员，需提供临时聘请或合作的材料。</w:t>
      </w:r>
    </w:p>
    <w:p w14:paraId="265FB50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（三）项目实施需要试验和示范基地的，需提供自有产权或租赁、合作的科研基地的证明材料，包括产权证、租赁合同、合作协议及土地的红线图等。</w:t>
      </w:r>
    </w:p>
    <w:p w14:paraId="7F0D9B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、资助额度及要求</w:t>
      </w:r>
    </w:p>
    <w:p w14:paraId="0FEC926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（一）不超过20万元（含），立项比例占所有立项项目的40%左右。</w:t>
      </w:r>
    </w:p>
    <w:p w14:paraId="51605A7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（二）20万元（不含）—40万元（含），立项比例占所有立项项目的60%左右。</w:t>
      </w:r>
    </w:p>
    <w:p w14:paraId="0F84274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（三）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同一申报单位原则上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同批次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推荐申报项目总数不超过4个。</w:t>
      </w:r>
    </w:p>
    <w:p w14:paraId="3F57ADC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bidi="ar-SA"/>
        </w:rPr>
        <w:t>各申报单位按照科研项目资金与研究任务相匹配的原则，据实编制预算经费。项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目立项时，市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科学技术和工业信息化局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根据专项资金总额综合平衡安排支持经费，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bidi="ar"/>
        </w:rPr>
        <w:t>项目承担单位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不得压缩任务内容和考核指标。</w:t>
      </w:r>
    </w:p>
    <w:p w14:paraId="293164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、实施年限</w:t>
      </w:r>
    </w:p>
    <w:p w14:paraId="4742DB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项目实施年限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不超过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（可选择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2年或3年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，从立项时间起算，项目单位要根据研究任务合理确定项目实施年限。</w:t>
      </w:r>
    </w:p>
    <w:p w14:paraId="63C6B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</w:rPr>
        <w:t>、资助方式</w:t>
      </w:r>
    </w:p>
    <w:p w14:paraId="5CC992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</w:rPr>
        <w:t>支持方式包括前资助和后补助：</w:t>
      </w:r>
    </w:p>
    <w:p w14:paraId="0A7412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</w:rPr>
        <w:t>（一）对于高等院校、科研院所或其他事业单位牵头承担的项目，实行前资助方式。项目立项后，资金一次性拨付项目牵头单位。</w:t>
      </w:r>
    </w:p>
    <w:p w14:paraId="54E29C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shd w:val="clear" w:color="auto" w:fill="FFFFFF"/>
        </w:rPr>
        <w:t>（二）对于企业单位牵头承担的项目，采取事前立项事后补助方式。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项目立项后，按照不超过财政资助总经费的50%，拨付项目牵头单位。在项目验收通过后，再根据项目完成和资金使用情况给予相应补助。</w:t>
      </w:r>
    </w:p>
    <w:p w14:paraId="53DC4F7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（三）项目牵头单位按照项目研究进度，根据项目负责人意见，及时将财政资金拨付至项目参与单位。项目参与单位不得再向外转拨资金。</w:t>
      </w:r>
    </w:p>
    <w:p w14:paraId="538BB8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highlight w:val="none"/>
          <w:lang w:eastAsia="zh-CN"/>
        </w:rPr>
        <w:t>、其他说明</w:t>
      </w:r>
    </w:p>
    <w:p w14:paraId="7EADA58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项目实施与经费管理严格按照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  <w:t>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关于改革完善省级财政科研经费管理的若干措施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  <w:t>》（琼府办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〔2022〕20号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《海南省重点研发专项和经费管理暂行办法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》（琼科规〔2025〕6号）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《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三亚市科技项目与经费管理办法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》（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三科工信规〔20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号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等文件，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" w:eastAsia="zh-CN"/>
        </w:rPr>
        <w:t>以及国家、海南</w:t>
      </w:r>
      <w:r>
        <w:rPr>
          <w:rFonts w:hint="default" w:ascii="Times New Roman" w:hAnsi="Times New Roman" w:eastAsia="仿宋_GB2312" w:cs="Times New Roman"/>
          <w:color w:val="000000"/>
          <w:spacing w:val="-2"/>
          <w:sz w:val="32"/>
          <w:szCs w:val="32"/>
          <w:highlight w:val="none"/>
          <w:lang w:val="en"/>
        </w:rPr>
        <w:t>省和三亚市有关财经法规和财务管理制度</w:t>
      </w:r>
      <w:r>
        <w:rPr>
          <w:rFonts w:hint="default" w:ascii="Times New Roman" w:hAnsi="Times New Roman" w:eastAsia="仿宋_GB2312" w:cs="Times New Roman"/>
          <w:color w:val="000000"/>
          <w:spacing w:val="-2"/>
          <w:sz w:val="32"/>
          <w:szCs w:val="32"/>
          <w:highlight w:val="none"/>
          <w:lang w:val="en" w:eastAsia="zh-CN"/>
        </w:rPr>
        <w:t>执行。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0C05D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0D1FD2">
                          <w:pPr>
                            <w:pStyle w:val="4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0D1FD2">
                    <w:pPr>
                      <w:pStyle w:val="4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5AECF8"/>
    <w:multiLevelType w:val="singleLevel"/>
    <w:tmpl w:val="EF5AECF8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D8DF40"/>
    <w:multiLevelType w:val="singleLevel"/>
    <w:tmpl w:val="77D8DF4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43EAB"/>
    <w:rsid w:val="02C674E5"/>
    <w:rsid w:val="05F43EAB"/>
    <w:rsid w:val="0A505DEC"/>
    <w:rsid w:val="0DD76AB5"/>
    <w:rsid w:val="0F3D60B4"/>
    <w:rsid w:val="13F97E6F"/>
    <w:rsid w:val="14481EB3"/>
    <w:rsid w:val="1C7B35A2"/>
    <w:rsid w:val="1DBD0FDA"/>
    <w:rsid w:val="20800337"/>
    <w:rsid w:val="2C2368F8"/>
    <w:rsid w:val="2C884E40"/>
    <w:rsid w:val="2EB349D8"/>
    <w:rsid w:val="2FFE7595"/>
    <w:rsid w:val="30F12CC4"/>
    <w:rsid w:val="31B3794B"/>
    <w:rsid w:val="3403469B"/>
    <w:rsid w:val="35DB1330"/>
    <w:rsid w:val="37DF169E"/>
    <w:rsid w:val="383249F0"/>
    <w:rsid w:val="38465899"/>
    <w:rsid w:val="3BD4C5BB"/>
    <w:rsid w:val="3C676A24"/>
    <w:rsid w:val="3C8047AD"/>
    <w:rsid w:val="3D777EA4"/>
    <w:rsid w:val="3E297951"/>
    <w:rsid w:val="41BF267C"/>
    <w:rsid w:val="42516609"/>
    <w:rsid w:val="44AA6B16"/>
    <w:rsid w:val="49C93036"/>
    <w:rsid w:val="49FD08A9"/>
    <w:rsid w:val="4A2671E0"/>
    <w:rsid w:val="4F872783"/>
    <w:rsid w:val="57476D61"/>
    <w:rsid w:val="5A031667"/>
    <w:rsid w:val="5B850370"/>
    <w:rsid w:val="61BD3709"/>
    <w:rsid w:val="63395146"/>
    <w:rsid w:val="667C96A7"/>
    <w:rsid w:val="69FF46E1"/>
    <w:rsid w:val="6B6E554D"/>
    <w:rsid w:val="6B8AD670"/>
    <w:rsid w:val="6E467539"/>
    <w:rsid w:val="6E740725"/>
    <w:rsid w:val="706E3D4F"/>
    <w:rsid w:val="79BE18C4"/>
    <w:rsid w:val="79CF8CEB"/>
    <w:rsid w:val="7B080C62"/>
    <w:rsid w:val="7F512BC2"/>
    <w:rsid w:val="7F7FDB47"/>
    <w:rsid w:val="7FEF3BAD"/>
    <w:rsid w:val="B7FFB326"/>
    <w:rsid w:val="D82FAD64"/>
    <w:rsid w:val="DB7D036B"/>
    <w:rsid w:val="E27D3C8B"/>
    <w:rsid w:val="EEFF631B"/>
    <w:rsid w:val="EEFFD92F"/>
    <w:rsid w:val="F469E485"/>
    <w:rsid w:val="FA6BCA9C"/>
    <w:rsid w:val="FCFEFB88"/>
    <w:rsid w:val="FFFFA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0" w:afterLines="0" w:afterAutospacing="0"/>
    </w:pPr>
    <w:rPr>
      <w:rFonts w:ascii="Times New Roman" w:hAnsi="Times New Roman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6</Pages>
  <Words>3820</Words>
  <Characters>3908</Characters>
  <Lines>1</Lines>
  <Paragraphs>1</Paragraphs>
  <TotalTime>0</TotalTime>
  <ScaleCrop>false</ScaleCrop>
  <LinksUpToDate>false</LinksUpToDate>
  <CharactersWithSpaces>3937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2025-11-21T20:38:00Z</dcterms:created>
  <dc:creator>Administrator</dc:creator>
  <cp:lastModifiedBy>唐楚翔</cp:lastModifiedBy>
  <dcterms:modified xsi:type="dcterms:W3CDTF">2025-12-08T03:18:29Z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eyJoZGlkIjoiMGFkMjI4MWY3N2FhMDE0MTViYWRlZTRkZGQ3ZGJmMTkiLCJ1c2VySWQiOiIxMTcwNTA1MDM1In0=</vt:lpwstr>
  </property>
  <property fmtid="{D5CDD505-2E9C-101B-9397-08002B2CF9AE}" pid="4" name="ICV">
    <vt:lpwstr>DD408D7C51464E4E85ABEF607726D9B3_12</vt:lpwstr>
  </property>
</Properties>
</file>