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491C1">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海南热带海洋学院“十五五”科学研究与</w:t>
      </w:r>
    </w:p>
    <w:p w14:paraId="3F989498">
      <w:pPr>
        <w:spacing w:line="560" w:lineRule="exact"/>
        <w:jc w:val="center"/>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社会服务规划（2026-2030年）</w:t>
      </w:r>
    </w:p>
    <w:p w14:paraId="12FB4728">
      <w:pPr>
        <w:spacing w:line="560" w:lineRule="exact"/>
        <w:jc w:val="center"/>
        <w:rPr>
          <w:rFonts w:hint="eastAsia" w:ascii="Times New Roman" w:hAnsi="Times New Roman" w:eastAsia="方正小标宋简体" w:cs="Times New Roman"/>
          <w:b/>
          <w:bCs/>
          <w:sz w:val="44"/>
          <w:szCs w:val="44"/>
          <w:lang w:eastAsia="zh-CN"/>
        </w:rPr>
      </w:pPr>
      <w:r>
        <w:rPr>
          <w:rFonts w:hint="eastAsia" w:ascii="Times New Roman" w:hAnsi="Times New Roman" w:eastAsia="方正小标宋简体" w:cs="Times New Roman"/>
          <w:b/>
          <w:bCs/>
          <w:sz w:val="44"/>
          <w:szCs w:val="44"/>
          <w:lang w:eastAsia="zh-CN"/>
        </w:rPr>
        <w:t>（</w:t>
      </w:r>
      <w:r>
        <w:rPr>
          <w:rFonts w:hint="eastAsia" w:ascii="Times New Roman" w:hAnsi="Times New Roman" w:eastAsia="方正小标宋简体" w:cs="Times New Roman"/>
          <w:b/>
          <w:bCs/>
          <w:sz w:val="44"/>
          <w:szCs w:val="44"/>
          <w:lang w:val="en-US" w:eastAsia="zh-CN"/>
        </w:rPr>
        <w:t>征求意见稿</w:t>
      </w:r>
      <w:r>
        <w:rPr>
          <w:rFonts w:hint="eastAsia" w:ascii="Times New Roman" w:hAnsi="Times New Roman" w:eastAsia="方正小标宋简体" w:cs="Times New Roman"/>
          <w:b/>
          <w:bCs/>
          <w:sz w:val="44"/>
          <w:szCs w:val="44"/>
          <w:lang w:eastAsia="zh-CN"/>
        </w:rPr>
        <w:t>）</w:t>
      </w:r>
    </w:p>
    <w:p w14:paraId="07EA7768">
      <w:pPr>
        <w:widowControl/>
        <w:shd w:val="clear" w:color="auto" w:fill="FFFFFF"/>
        <w:spacing w:line="560" w:lineRule="exact"/>
        <w:ind w:firstLine="640" w:firstLineChars="200"/>
        <w:rPr>
          <w:rFonts w:hint="default" w:ascii="Times New Roman" w:hAnsi="Times New Roman" w:eastAsia="仿宋_GB2312" w:cs="Times New Roman"/>
          <w:kern w:val="0"/>
          <w:sz w:val="32"/>
          <w:szCs w:val="32"/>
          <w:shd w:val="clear" w:color="auto" w:fill="FFFFFF"/>
          <w:lang w:bidi="ar"/>
        </w:rPr>
      </w:pPr>
      <w:r>
        <w:rPr>
          <w:rFonts w:hint="default" w:ascii="Times New Roman" w:hAnsi="Times New Roman" w:eastAsia="仿宋_GB2312" w:cs="Times New Roman"/>
          <w:sz w:val="32"/>
          <w:szCs w:val="32"/>
        </w:rPr>
        <w:t>“十五五”时期，是我国基本实现社会主义现代化夯实基础、全面发力的关键时期，是海南自由贸易港在封关运作新起点上全面深化改革开放、实现高质量发展的关键五年，也是学校从“深度转海”到“加快强海”、实现“更大申博”、推动建设全国一流海洋大学的重要时期。为了在新的历史征程上，高质量推进我校科研创新和社会服务，</w:t>
      </w:r>
      <w:r>
        <w:rPr>
          <w:rFonts w:hint="default" w:ascii="Times New Roman" w:hAnsi="Times New Roman" w:eastAsia="仿宋_GB2312" w:cs="Times New Roman"/>
          <w:kern w:val="21"/>
          <w:sz w:val="32"/>
          <w:szCs w:val="32"/>
        </w:rPr>
        <w:t>切实服务好“再造一个‘海上海南’”的战略目标，</w:t>
      </w:r>
      <w:r>
        <w:rPr>
          <w:rFonts w:hint="default" w:ascii="Times New Roman" w:hAnsi="Times New Roman" w:eastAsia="仿宋_GB2312" w:cs="Times New Roman"/>
          <w:sz w:val="32"/>
          <w:szCs w:val="32"/>
        </w:rPr>
        <w:t>根据《海南省国民经济和社会发展第十五个五年规划纲要》</w:t>
      </w:r>
      <w:r>
        <w:rPr>
          <w:rFonts w:hint="default" w:ascii="Times New Roman" w:hAnsi="Times New Roman" w:eastAsia="仿宋_GB2312" w:cs="Times New Roman"/>
          <w:kern w:val="0"/>
          <w:sz w:val="32"/>
          <w:szCs w:val="32"/>
          <w:shd w:val="clear" w:color="auto" w:fill="FFFFFF"/>
          <w:lang w:bidi="ar"/>
        </w:rPr>
        <w:t>《海南热带海洋学院“十五五”事业发展规划》的部署，结合学校发展实际，制定本发展规划。</w:t>
      </w:r>
    </w:p>
    <w:p w14:paraId="25EAC56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一、发展现状</w:t>
      </w:r>
    </w:p>
    <w:p w14:paraId="3AA41095">
      <w:pPr>
        <w:spacing w:line="560" w:lineRule="exact"/>
        <w:ind w:firstLine="643" w:firstLineChars="200"/>
        <w:rPr>
          <w:rFonts w:hint="default" w:ascii="Times New Roman" w:hAnsi="Times New Roman" w:eastAsia="方正仿宋_GB2312" w:cs="Times New Roman"/>
          <w:b/>
          <w:bCs/>
          <w:sz w:val="32"/>
          <w:szCs w:val="32"/>
        </w:rPr>
      </w:pPr>
      <w:r>
        <w:rPr>
          <w:rFonts w:hint="default" w:ascii="Times New Roman" w:hAnsi="Times New Roman" w:eastAsia="方正楷体_GB2312" w:cs="Times New Roman"/>
          <w:b/>
          <w:bCs/>
          <w:sz w:val="32"/>
          <w:szCs w:val="32"/>
        </w:rPr>
        <w:t>（一）“十四五”期间取得的主要成绩</w:t>
      </w:r>
    </w:p>
    <w:p w14:paraId="431CE9E3">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“十四五”时期是学校转型发展、建设热带特色鲜明的高水平应用型海洋大学的改革攻坚期和战略机遇期。学校科研与社会服务事业实现了跨越式发展，为“十五五”发展奠定了坚实基础。</w:t>
      </w:r>
    </w:p>
    <w:p w14:paraId="5DD29156">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1.科研项目量质齐增。</w:t>
      </w:r>
      <w:r>
        <w:rPr>
          <w:rFonts w:hint="default" w:ascii="Times New Roman" w:hAnsi="Times New Roman" w:eastAsia="仿宋_GB2312" w:cs="Times New Roman"/>
          <w:sz w:val="32"/>
          <w:szCs w:val="32"/>
          <w:lang w:val="en-US" w:eastAsia="zh-CN"/>
        </w:rPr>
        <w:t>学校科研经费总量实现跨越式增长，“十四五”期间累计达4.9</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亿元，较“十三五”增长6</w:t>
      </w:r>
      <w:r>
        <w:rPr>
          <w:rFonts w:hint="eastAsia" w:ascii="Times New Roman" w:hAnsi="Times New Roman" w:eastAsia="仿宋_GB2312" w:cs="Times New Roman"/>
          <w:sz w:val="32"/>
          <w:szCs w:val="32"/>
          <w:lang w:val="en-US" w:eastAsia="zh-CN"/>
        </w:rPr>
        <w:t>3.18</w:t>
      </w:r>
      <w:r>
        <w:rPr>
          <w:rFonts w:hint="default" w:ascii="Times New Roman" w:hAnsi="Times New Roman" w:eastAsia="仿宋_GB2312" w:cs="Times New Roman"/>
          <w:sz w:val="32"/>
          <w:szCs w:val="32"/>
          <w:lang w:val="en-US" w:eastAsia="zh-CN"/>
        </w:rPr>
        <w:t>%。其中纵向项目经费2.6亿元，增长9</w:t>
      </w:r>
      <w:r>
        <w:rPr>
          <w:rFonts w:hint="eastAsia" w:ascii="Times New Roman" w:hAnsi="Times New Roman" w:eastAsia="仿宋_GB2312" w:cs="Times New Roman"/>
          <w:sz w:val="32"/>
          <w:szCs w:val="32"/>
          <w:lang w:val="en-US" w:eastAsia="zh-CN"/>
        </w:rPr>
        <w:t>8.9</w:t>
      </w:r>
      <w:r>
        <w:rPr>
          <w:rFonts w:hint="default" w:ascii="Times New Roman" w:hAnsi="Times New Roman" w:eastAsia="仿宋_GB2312" w:cs="Times New Roman"/>
          <w:sz w:val="32"/>
          <w:szCs w:val="32"/>
          <w:lang w:val="en-US" w:eastAsia="zh-CN"/>
        </w:rPr>
        <w:t>%；横向项目合同经费2.38亿元，项目数量为“十三五”的3.5倍，横向经费占比显著提升，彰显服务地方经济能力持续增强。获批科研领域超长期国债项目1项，金额4271万元，有力支撑科研设备更新升级。</w:t>
      </w:r>
      <w:r>
        <w:rPr>
          <w:rFonts w:hint="eastAsia" w:ascii="Times New Roman" w:hAnsi="Times New Roman" w:eastAsia="仿宋_GB2312" w:cs="Times New Roman"/>
          <w:sz w:val="32"/>
          <w:szCs w:val="32"/>
          <w:lang w:val="en-US" w:eastAsia="zh-CN"/>
        </w:rPr>
        <w:t>聚焦</w:t>
      </w:r>
      <w:r>
        <w:rPr>
          <w:rFonts w:hint="default" w:ascii="Times New Roman" w:hAnsi="Times New Roman" w:eastAsia="仿宋_GB2312" w:cs="Times New Roman"/>
          <w:sz w:val="32"/>
          <w:szCs w:val="32"/>
          <w:lang w:val="en-US" w:eastAsia="zh-CN"/>
        </w:rPr>
        <w:t>深海装备、海洋牧场等领域</w:t>
      </w:r>
      <w:r>
        <w:rPr>
          <w:rFonts w:hint="eastAsia" w:ascii="Times New Roman" w:hAnsi="Times New Roman" w:eastAsia="仿宋_GB2312" w:cs="Times New Roman"/>
          <w:sz w:val="32"/>
          <w:szCs w:val="32"/>
          <w:lang w:val="en-US" w:eastAsia="zh-CN"/>
        </w:rPr>
        <w:t>，学校先后</w:t>
      </w:r>
      <w:r>
        <w:rPr>
          <w:rFonts w:hint="default" w:ascii="Times New Roman" w:hAnsi="Times New Roman" w:eastAsia="仿宋_GB2312" w:cs="Times New Roman"/>
          <w:sz w:val="32"/>
          <w:szCs w:val="32"/>
          <w:lang w:val="en-US" w:eastAsia="zh-CN"/>
        </w:rPr>
        <w:t>承担</w:t>
      </w:r>
      <w:r>
        <w:rPr>
          <w:rFonts w:hint="eastAsia" w:ascii="Times New Roman" w:hAnsi="Times New Roman" w:eastAsia="仿宋_GB2312" w:cs="Times New Roman"/>
          <w:sz w:val="32"/>
          <w:szCs w:val="32"/>
          <w:lang w:val="en-US" w:eastAsia="zh-CN"/>
        </w:rPr>
        <w:t>并完成</w:t>
      </w:r>
      <w:r>
        <w:rPr>
          <w:rFonts w:hint="default" w:ascii="Times New Roman" w:hAnsi="Times New Roman" w:eastAsia="仿宋_GB2312" w:cs="Times New Roman"/>
          <w:sz w:val="32"/>
          <w:szCs w:val="32"/>
          <w:lang w:val="en-US" w:eastAsia="zh-CN"/>
        </w:rPr>
        <w:t>海南省首个军民融合大项目、西沙</w:t>
      </w:r>
      <w:r>
        <w:rPr>
          <w:rFonts w:hint="eastAsia" w:ascii="Times New Roman" w:hAnsi="Times New Roman" w:eastAsia="仿宋_GB2312" w:cs="Times New Roman"/>
          <w:sz w:val="32"/>
          <w:szCs w:val="32"/>
          <w:lang w:val="en-US" w:eastAsia="zh-CN"/>
        </w:rPr>
        <w:t>海域</w:t>
      </w:r>
      <w:r>
        <w:rPr>
          <w:rFonts w:hint="default" w:ascii="Times New Roman" w:hAnsi="Times New Roman" w:eastAsia="仿宋_GB2312" w:cs="Times New Roman"/>
          <w:sz w:val="32"/>
          <w:szCs w:val="32"/>
          <w:lang w:val="en-US" w:eastAsia="zh-CN"/>
        </w:rPr>
        <w:t>海洋生物资源调查</w:t>
      </w:r>
      <w:r>
        <w:rPr>
          <w:rFonts w:hint="eastAsia"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、首个高校建成的海洋牧场等千万级项目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获批国家社科基金重大项目“南部海疆中华民族共同体形成与发展研究”，</w:t>
      </w:r>
      <w:r>
        <w:rPr>
          <w:rFonts w:hint="default" w:ascii="Times New Roman" w:hAnsi="Times New Roman" w:eastAsia="仿宋_GB2312" w:cs="Times New Roman"/>
          <w:sz w:val="32"/>
          <w:szCs w:val="32"/>
        </w:rPr>
        <w:t>海南省高校</w:t>
      </w:r>
      <w:r>
        <w:rPr>
          <w:rFonts w:hint="default" w:ascii="Times New Roman" w:hAnsi="Times New Roman" w:eastAsia="仿宋_GB2312" w:cs="Times New Roman"/>
          <w:sz w:val="32"/>
          <w:szCs w:val="32"/>
          <w:lang w:val="en-US" w:eastAsia="zh-CN"/>
        </w:rPr>
        <w:t>首个国家社科重大项目“黎族通史”顺利结项。重大重点项目的突破，为学校在深海、海洋生物等前沿领域占据一席之地奠定了坚实基础，科研综合实力迈上新台阶。</w:t>
      </w:r>
    </w:p>
    <w:p w14:paraId="37DDE7CF">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2.高水平成果持续涌现。</w:t>
      </w:r>
      <w:r>
        <w:rPr>
          <w:rFonts w:hint="default" w:ascii="Times New Roman" w:hAnsi="Times New Roman" w:eastAsia="仿宋_GB2312" w:cs="Times New Roman"/>
          <w:sz w:val="32"/>
          <w:szCs w:val="32"/>
          <w:lang w:val="en-US" w:eastAsia="zh-CN"/>
        </w:rPr>
        <w:t>穆军教授攻克海洋微塑料降解难题获多项国际专利，胡亚芹教授</w:t>
      </w:r>
      <w:r>
        <w:rPr>
          <w:rFonts w:hint="eastAsia" w:ascii="Times New Roman" w:hAnsi="Times New Roman" w:eastAsia="仿宋_GB2312" w:cs="Times New Roman"/>
          <w:sz w:val="32"/>
          <w:szCs w:val="32"/>
          <w:lang w:val="en-US" w:eastAsia="zh-CN"/>
        </w:rPr>
        <w:t>连续五年</w:t>
      </w:r>
      <w:r>
        <w:rPr>
          <w:rFonts w:hint="default" w:ascii="Times New Roman" w:hAnsi="Times New Roman" w:eastAsia="仿宋_GB2312" w:cs="Times New Roman"/>
          <w:sz w:val="32"/>
          <w:szCs w:val="32"/>
          <w:lang w:val="en-US" w:eastAsia="zh-CN"/>
        </w:rPr>
        <w:t>入围全球食品领域顶尖科学家榜单，高被引论文、热点论文实现突破。</w:t>
      </w:r>
      <w:r>
        <w:rPr>
          <w:rFonts w:hint="default" w:ascii="Times New Roman" w:hAnsi="Times New Roman" w:eastAsia="仿宋_GB2312" w:cs="Times New Roman"/>
          <w:sz w:val="32"/>
          <w:szCs w:val="32"/>
        </w:rPr>
        <w:t>获得省部级以上科研成果奖</w:t>
      </w: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rPr>
        <w:t>项，其中，省级科学技术进步奖</w:t>
      </w:r>
      <w:r>
        <w:rPr>
          <w:rFonts w:hint="default" w:ascii="Times New Roman" w:hAnsi="Times New Roman" w:eastAsia="仿宋_GB2312" w:cs="Times New Roman"/>
          <w:sz w:val="32"/>
          <w:szCs w:val="32"/>
          <w:lang w:val="en-US" w:eastAsia="zh-CN"/>
        </w:rPr>
        <w:t>特等奖1项，</w:t>
      </w:r>
      <w:r>
        <w:rPr>
          <w:rFonts w:hint="default" w:ascii="Times New Roman" w:hAnsi="Times New Roman" w:eastAsia="仿宋_GB2312" w:cs="Times New Roman"/>
          <w:sz w:val="32"/>
          <w:szCs w:val="32"/>
        </w:rPr>
        <w:t>一等奖</w:t>
      </w:r>
      <w:r>
        <w:rPr>
          <w:rFonts w:hint="default" w:ascii="Times New Roman" w:hAnsi="Times New Roman" w:eastAsia="仿宋_GB2312" w:cs="Times New Roman"/>
          <w:sz w:val="32"/>
          <w:szCs w:val="32"/>
          <w:lang w:eastAsia="zh-CN"/>
        </w:rPr>
        <w:t>4</w:t>
      </w:r>
      <w:r>
        <w:rPr>
          <w:rFonts w:hint="default" w:ascii="Times New Roman" w:hAnsi="Times New Roman" w:eastAsia="仿宋_GB2312" w:cs="Times New Roman"/>
          <w:sz w:val="32"/>
          <w:szCs w:val="32"/>
        </w:rPr>
        <w:t>项，二等奖</w:t>
      </w:r>
      <w:r>
        <w:rPr>
          <w:rFonts w:hint="default"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项，三等奖2项；</w:t>
      </w:r>
      <w:r>
        <w:rPr>
          <w:rFonts w:hint="default" w:ascii="Times New Roman" w:hAnsi="Times New Roman" w:eastAsia="仿宋_GB2312" w:cs="Times New Roman"/>
          <w:sz w:val="32"/>
          <w:szCs w:val="32"/>
          <w:highlight w:val="none"/>
        </w:rPr>
        <w:t>省级哲学社会科学成果奖一等奖1项，二等奖</w:t>
      </w:r>
      <w:r>
        <w:rPr>
          <w:rFonts w:hint="eastAsia" w:ascii="Times New Roman" w:hAnsi="Times New Roman" w:eastAsia="仿宋_GB2312" w:cs="Times New Roman"/>
          <w:sz w:val="32"/>
          <w:szCs w:val="32"/>
          <w:highlight w:val="none"/>
          <w:lang w:eastAsia="zh-CN"/>
        </w:rPr>
        <w:t>2</w:t>
      </w:r>
      <w:r>
        <w:rPr>
          <w:rFonts w:hint="default" w:ascii="Times New Roman" w:hAnsi="Times New Roman" w:eastAsia="仿宋_GB2312" w:cs="Times New Roman"/>
          <w:sz w:val="32"/>
          <w:szCs w:val="32"/>
          <w:highlight w:val="none"/>
        </w:rPr>
        <w:t>项，三等奖8项。</w:t>
      </w:r>
      <w:r>
        <w:rPr>
          <w:rFonts w:hint="default" w:ascii="Times New Roman" w:hAnsi="Times New Roman" w:eastAsia="仿宋_GB2312" w:cs="Times New Roman"/>
          <w:sz w:val="32"/>
          <w:szCs w:val="32"/>
        </w:rPr>
        <w:t>获得市厅级、社会</w:t>
      </w:r>
      <w:r>
        <w:rPr>
          <w:rFonts w:hint="eastAsia" w:ascii="Times New Roman" w:hAnsi="Times New Roman" w:eastAsia="仿宋_GB2312" w:cs="Times New Roman"/>
          <w:sz w:val="32"/>
          <w:szCs w:val="32"/>
          <w:lang w:val="en-US" w:eastAsia="zh-CN"/>
        </w:rPr>
        <w:t>来源</w:t>
      </w:r>
      <w:r>
        <w:rPr>
          <w:rFonts w:hint="default" w:ascii="Times New Roman" w:hAnsi="Times New Roman" w:eastAsia="仿宋_GB2312" w:cs="Times New Roman"/>
          <w:sz w:val="32"/>
          <w:szCs w:val="32"/>
        </w:rPr>
        <w:t>科研成果奖项40项。</w:t>
      </w:r>
      <w:r>
        <w:rPr>
          <w:rFonts w:hint="default" w:ascii="Times New Roman" w:hAnsi="Times New Roman" w:eastAsia="仿宋_GB2312" w:cs="Times New Roman"/>
          <w:sz w:val="32"/>
          <w:szCs w:val="32"/>
          <w:lang w:val="en-US" w:eastAsia="zh-CN"/>
        </w:rPr>
        <w:t>高水平成果的持续产出，不仅提升了学校的学术影响力，更将基础研究与区域发展需求紧密结合，为海南自由贸易港建设提供了有力的智力支持。</w:t>
      </w:r>
    </w:p>
    <w:p w14:paraId="5A045B53">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3.平台团队能级跃升。</w:t>
      </w:r>
      <w:r>
        <w:rPr>
          <w:rFonts w:hint="default" w:ascii="Times New Roman" w:hAnsi="Times New Roman" w:eastAsia="仿宋_GB2312" w:cs="Times New Roman"/>
          <w:sz w:val="32"/>
          <w:szCs w:val="32"/>
          <w:lang w:val="en-US" w:eastAsia="zh-CN"/>
        </w:rPr>
        <w:t>科研平台与创新团队建设成效显著，新增海岛旅游资源数据挖掘与监测预警技术文旅部重点实验室、海南省近岸海洋生态环境过程与碳汇重点实验室、曹喜滨院士工作站、</w:t>
      </w:r>
      <w:r>
        <w:rPr>
          <w:rFonts w:hint="default" w:ascii="Times New Roman" w:hAnsi="Times New Roman" w:eastAsia="仿宋_GB2312" w:cs="Times New Roman"/>
          <w:sz w:val="32"/>
          <w:szCs w:val="32"/>
        </w:rPr>
        <w:t>海南省重点智库海上丝绸之路研究院和海南省铸牢中华民族共同体意识研究基地</w:t>
      </w:r>
      <w:r>
        <w:rPr>
          <w:rFonts w:hint="default" w:ascii="Times New Roman" w:hAnsi="Times New Roman" w:eastAsia="仿宋_GB2312" w:cs="Times New Roman"/>
          <w:sz w:val="32"/>
          <w:szCs w:val="32"/>
          <w:lang w:val="en-US" w:eastAsia="zh-CN"/>
        </w:rPr>
        <w:t>等省部级科研平台12个，总数达35个。蒋兴伟、包振民院士工作站及朱蓓薇、张偲院士团队创新中心考核优秀，获奖励经费825万元。与马来亚大学共建海南省首个中外联合海洋生物实验室，国际化科研合作实现新突破。海上科教队伍不断壮大，涌现出“深海勇士”载人潜水器独立主驾苏静、完成万米深潜的女性科技工作者宋陶然、三次赴南极科考的那广水等优秀人才，那广水研究员当选为PICES海洋环境质量委员会主席，进一步提升了学校在国际海洋科学领域的影响力。学校深度参与</w:t>
      </w:r>
      <w:r>
        <w:rPr>
          <w:rFonts w:hint="default" w:ascii="Times New Roman" w:hAnsi="Times New Roman" w:eastAsia="仿宋_GB2312" w:cs="Times New Roman"/>
          <w:sz w:val="32"/>
          <w:szCs w:val="32"/>
          <w:highlight w:val="none"/>
          <w:lang w:val="en-US" w:eastAsia="zh-CN"/>
        </w:rPr>
        <w:t>国家深海工程联系会议机制、深海研究院建设</w:t>
      </w:r>
      <w:r>
        <w:rPr>
          <w:rFonts w:hint="default" w:ascii="Times New Roman" w:hAnsi="Times New Roman" w:eastAsia="仿宋_GB2312" w:cs="Times New Roman"/>
          <w:sz w:val="32"/>
          <w:szCs w:val="32"/>
          <w:lang w:val="en-US" w:eastAsia="zh-CN"/>
        </w:rPr>
        <w:t>，联合企业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政府共建多个特色研究院，崖州湾创新研究院构建“四中心一所”科研架构。平台能级的跃升，为开展高水平科学研究、汇聚一流人才提供了坚实的载体支撑。</w:t>
      </w:r>
    </w:p>
    <w:p w14:paraId="2CD6DFF7">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4.创新特色优势彰显。</w:t>
      </w:r>
      <w:r>
        <w:rPr>
          <w:rFonts w:hint="default" w:ascii="Times New Roman" w:hAnsi="Times New Roman" w:eastAsia="仿宋_GB2312" w:cs="Times New Roman"/>
          <w:sz w:val="32"/>
          <w:szCs w:val="32"/>
          <w:lang w:val="en-US" w:eastAsia="zh-CN"/>
        </w:rPr>
        <w:t>“十四五”期间，学校在水产南繁育种、新型污染物监测、生物多样性保护、生态修复实践、濒危物种救护、海洋防灾减灾及军民融合服务等领域取得系列突破。攻克波纹唇鱼全人工繁育世界性难题，实现野生刺鲀、银鼓鱼人工繁育突破，培育石斑鱼、金鲳鱼、方斑东风螺等水产新品系，助推海南“三鱼一虾一螺”产业高质量发展。成功研发“热海大1号”水下机器人，深海高光谱成像仪技术指标国内领先；建成全国首个教学科研型海洋牧场，完成1503个礁体生产与投放。连续在海南“两江一河”以及58个典型海湾，对污染物开展长序列观测，系统掌握了海南岛近岸污染物时空分布格局与组成特征，建立“近岸−南海−大洋−极地”一体化研究体系；系统掌握海南岛近岸及西沙海域海洋生物资源现状，建成热带海区软珊瑚和海草资源样本库、数据库及种质资源库。获批海南省海龟救护保育中心，</w:t>
      </w:r>
      <w:r>
        <w:rPr>
          <w:rFonts w:hint="eastAsia" w:ascii="Times New Roman" w:hAnsi="Times New Roman" w:eastAsia="仿宋_GB2312" w:cs="Times New Roman"/>
          <w:sz w:val="32"/>
          <w:szCs w:val="32"/>
          <w:lang w:val="en-US" w:eastAsia="zh-CN"/>
        </w:rPr>
        <w:t>开展全国性海龟救护保育工作，</w:t>
      </w:r>
      <w:r>
        <w:rPr>
          <w:rFonts w:hint="default" w:ascii="Times New Roman" w:hAnsi="Times New Roman" w:eastAsia="仿宋_GB2312" w:cs="Times New Roman"/>
          <w:sz w:val="32"/>
          <w:szCs w:val="32"/>
          <w:lang w:val="en-US" w:eastAsia="zh-CN"/>
        </w:rPr>
        <w:t>成功救助放归503只海龟。为海南生态文明试验区建设、海洋渔业转型升级及国家海洋战略安全提供了坚实的科技支撑和智力支持。</w:t>
      </w:r>
    </w:p>
    <w:p w14:paraId="46C21749">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5.社会服务贡献突出。</w:t>
      </w:r>
      <w:r>
        <w:rPr>
          <w:rFonts w:hint="default" w:ascii="Times New Roman" w:hAnsi="Times New Roman" w:eastAsia="仿宋_GB2312" w:cs="Times New Roman"/>
          <w:sz w:val="32"/>
          <w:szCs w:val="32"/>
          <w:lang w:val="en-US" w:eastAsia="zh-CN"/>
        </w:rPr>
        <w:t>学校主动融入海洋强省战略，主导编制自然资源部《深远海产业分类》等行业标准，参与编制全国首个海洋无人机标准《海洋无人机系统通用要求》</w:t>
      </w:r>
      <w:r>
        <w:rPr>
          <w:rFonts w:hint="eastAsia"/>
          <w:lang w:eastAsia="zh-CN"/>
        </w:rPr>
        <w:t>，</w:t>
      </w:r>
      <w:r>
        <w:rPr>
          <w:rFonts w:hint="default" w:ascii="Times New Roman" w:hAnsi="Times New Roman" w:eastAsia="仿宋_GB2312" w:cs="Times New Roman"/>
          <w:sz w:val="32"/>
          <w:szCs w:val="32"/>
          <w:lang w:val="en-US" w:eastAsia="zh-CN"/>
        </w:rPr>
        <w:t>承担《海南省国土空间规划（2021-2035）》等多项省级重大规划</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陈傅晓研究员被聘任为海南省石斑鱼现代农业产业技术体系首席科学家。作为主要技术支撑单位，联合共建“海南特色食品研究院”“五指山雨林大叶茶研究院”，深化产学研融合；校海洋牧场技术团队全面支撑“三亚湾海域农投国家级海洋牧场”等重点项目建设，将科研成果直接应用于地方发展。系统承担省级及沿海市县海洋经济统计核算、运行监测与战略研究，精准把握海洋经济发展态势。构建“科技特派员＋科技小院＋产业基地”协同赋能体系，获批“海南乐东东星斑科技小院”和“海南陵水石斑鱼科技小院”，解决企业技术难题。</w:t>
      </w:r>
      <w:r>
        <w:rPr>
          <w:rFonts w:hint="eastAsia" w:ascii="Times New Roman" w:hAnsi="Times New Roman" w:eastAsia="仿宋_GB2312" w:cs="Times New Roman"/>
          <w:sz w:val="32"/>
          <w:szCs w:val="32"/>
        </w:rPr>
        <w:t>围绕着海洋强国、海洋强省战略及海南自贸港建设推动智库成果转化，聚焦海洋旅游、海洋文化、海洋经济、民族教育等领域，撰写64篇智库报告与决策咨询成果，其中30篇咨政建议和研究报告获省厅级领导批示或被政府相关部门采纳。</w:t>
      </w:r>
      <w:r>
        <w:rPr>
          <w:rFonts w:hint="eastAsia" w:ascii="Times New Roman" w:hAnsi="Times New Roman" w:eastAsia="仿宋_GB2312" w:cs="Times New Roman"/>
          <w:sz w:val="32"/>
          <w:szCs w:val="32"/>
          <w:lang w:eastAsia="zh-CN"/>
        </w:rPr>
        <w:t>依托“海南热带海洋与非遗文化”省级社科普及基地、“大观非遗·锦裳黎语”校企中心等平台，积极推进海南非物质文化遗产的传承发展和成果转化。</w:t>
      </w:r>
      <w:r>
        <w:rPr>
          <w:rFonts w:hint="default" w:ascii="Times New Roman" w:hAnsi="Times New Roman" w:eastAsia="仿宋_GB2312" w:cs="Times New Roman"/>
          <w:sz w:val="32"/>
          <w:szCs w:val="32"/>
          <w:lang w:val="en-US" w:eastAsia="zh-CN"/>
        </w:rPr>
        <w:t>体现了学校作为区域科技高地的责任担当，为海南经济社会发展注入了强劲动能。</w:t>
      </w:r>
    </w:p>
    <w:p w14:paraId="4E56C506">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6.体制机制改革深化。</w:t>
      </w:r>
      <w:r>
        <w:rPr>
          <w:rFonts w:hint="default" w:ascii="Times New Roman" w:hAnsi="Times New Roman" w:eastAsia="仿宋_GB2312" w:cs="Times New Roman"/>
          <w:sz w:val="32"/>
          <w:szCs w:val="32"/>
          <w:lang w:val="en-US" w:eastAsia="zh-CN"/>
        </w:rPr>
        <w:t>制定或修订12项制度，将技术创新、转移转化和社会服务贡献纳入科研考评重要标准。推动外协科研经费管理制度优化，鼓励落实科研财务助理制度，构建制度、技术、日常监督三位一体的监管体系。发布《科研经费使用负面清单》，</w:t>
      </w:r>
      <w:r>
        <w:rPr>
          <w:rFonts w:hint="eastAsia" w:ascii="Times New Roman" w:hAnsi="Times New Roman" w:eastAsia="仿宋_GB2312" w:cs="Times New Roman"/>
          <w:sz w:val="32"/>
          <w:szCs w:val="32"/>
          <w:lang w:val="en-US" w:eastAsia="zh-CN"/>
        </w:rPr>
        <w:t>加强科研诚信建设，</w:t>
      </w:r>
      <w:r>
        <w:rPr>
          <w:rFonts w:hint="default" w:ascii="Times New Roman" w:hAnsi="Times New Roman" w:eastAsia="仿宋_GB2312" w:cs="Times New Roman"/>
          <w:sz w:val="32"/>
          <w:szCs w:val="32"/>
          <w:lang w:val="en-US" w:eastAsia="zh-CN"/>
        </w:rPr>
        <w:t>营造风清气正的科研环境。学术交流渠道日益畅通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连续举办四届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全国水产南繁种业发展论坛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，成功主办第六届海底观测科学大会、第八届东亚水产科技者协会年度国际研讨会、第十三次全国毒理学大会、2025海洋保护大会、全国岛礁岩土工程学术研讨会、</w:t>
      </w:r>
      <w:r>
        <w:rPr>
          <w:rFonts w:hint="default" w:ascii="Times New Roman" w:hAnsi="Times New Roman" w:eastAsia="仿宋_GB2312" w:cs="Times New Roman"/>
          <w:sz w:val="32"/>
          <w:szCs w:val="32"/>
        </w:rPr>
        <w:t>第七届中国自贸智库论坛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海洋强国•绿色蔚蓝与海上新海南发展论坛</w:t>
      </w:r>
      <w:r>
        <w:rPr>
          <w:rFonts w:hint="eastAsia" w:ascii="Times New Roman" w:hAnsi="Times New Roman" w:eastAsia="仿宋_GB2312" w:cs="Times New Roman"/>
          <w:sz w:val="32"/>
          <w:szCs w:val="32"/>
          <w:lang w:eastAsia="zh"/>
          <w:woUserID w:val="2"/>
        </w:rPr>
        <w:t>以及</w:t>
      </w:r>
      <w:r>
        <w:rPr>
          <w:rFonts w:hint="default" w:ascii="Times New Roman" w:hAnsi="Times New Roman" w:eastAsia="仿宋_GB2312" w:cs="Times New Roman"/>
          <w:sz w:val="32"/>
          <w:szCs w:val="32"/>
          <w:lang w:val="en-US" w:eastAsia="zh-CN"/>
        </w:rPr>
        <w:t>连续举办</w:t>
      </w:r>
      <w:r>
        <w:rPr>
          <w:rFonts w:hint="eastAsia" w:ascii="Times New Roman" w:hAnsi="Times New Roman" w:eastAsia="仿宋_GB2312" w:cs="Times New Roman"/>
          <w:sz w:val="32"/>
          <w:szCs w:val="32"/>
          <w:lang w:eastAsia="zh"/>
          <w:woUserID w:val="2"/>
        </w:rPr>
        <w:t>四届</w:t>
      </w:r>
      <w:r>
        <w:rPr>
          <w:rFonts w:hint="default" w:ascii="Times New Roman" w:hAnsi="Times New Roman" w:eastAsia="仿宋_GB2312" w:cs="Times New Roman"/>
          <w:sz w:val="32"/>
          <w:szCs w:val="32"/>
          <w:woUserID w:val="2"/>
        </w:rPr>
        <w:t>海南省铸牢中华民族共同体意识学术研讨会</w:t>
      </w:r>
      <w:r>
        <w:rPr>
          <w:rFonts w:hint="default" w:ascii="Times New Roman" w:hAnsi="Times New Roman" w:eastAsia="仿宋_GB2312" w:cs="Times New Roman"/>
          <w:sz w:val="32"/>
          <w:szCs w:val="32"/>
          <w:lang w:eastAsia="zh-CN"/>
          <w:woUserID w:val="2"/>
        </w:rPr>
        <w:t>、</w:t>
      </w:r>
      <w:r>
        <w:rPr>
          <w:rFonts w:hint="default" w:ascii="Times New Roman" w:hAnsi="Times New Roman" w:eastAsia="仿宋_GB2312" w:cs="Times New Roman"/>
          <w:sz w:val="32"/>
          <w:szCs w:val="32"/>
          <w:lang w:val="en-US" w:eastAsia="zh-CN"/>
        </w:rPr>
        <w:t>连续举办</w:t>
      </w:r>
      <w:r>
        <w:rPr>
          <w:rFonts w:hint="eastAsia" w:ascii="Times New Roman" w:hAnsi="Times New Roman" w:eastAsia="仿宋_GB2312" w:cs="Times New Roman"/>
          <w:sz w:val="32"/>
          <w:szCs w:val="32"/>
          <w:lang w:eastAsia="zh"/>
          <w:woUserID w:val="2"/>
        </w:rPr>
        <w:t>五届</w:t>
      </w:r>
      <w:r>
        <w:rPr>
          <w:rFonts w:hint="default" w:ascii="Times New Roman" w:hAnsi="Times New Roman" w:eastAsia="仿宋_GB2312" w:cs="Times New Roman"/>
          <w:sz w:val="32"/>
          <w:szCs w:val="32"/>
          <w:woUserID w:val="2"/>
        </w:rPr>
        <w:t>东南亚与中国（海南）论坛</w:t>
      </w:r>
      <w:r>
        <w:rPr>
          <w:rFonts w:hint="default" w:ascii="Times New Roman" w:hAnsi="Times New Roman" w:eastAsia="仿宋_GB2312" w:cs="Times New Roman"/>
          <w:sz w:val="32"/>
          <w:szCs w:val="32"/>
          <w:lang w:val="en-US" w:eastAsia="zh-CN"/>
        </w:rPr>
        <w:t>等高水平会议。发挥高校服务地方作用，打造学术交流、科普育人、科技服务三大品牌，牵头开展特色科普活动，新获批</w:t>
      </w:r>
      <w:r>
        <w:rPr>
          <w:rFonts w:hint="eastAsia" w:ascii="Times New Roman" w:hAnsi="Times New Roman" w:eastAsia="仿宋_GB2312" w:cs="Times New Roman"/>
          <w:sz w:val="32"/>
          <w:szCs w:val="32"/>
          <w:lang w:val="en-US" w:eastAsia="zh-CN"/>
        </w:rPr>
        <w:t>4家</w:t>
      </w:r>
      <w:r>
        <w:rPr>
          <w:rFonts w:hint="default" w:ascii="Times New Roman" w:hAnsi="Times New Roman" w:eastAsia="仿宋_GB2312" w:cs="Times New Roman"/>
          <w:sz w:val="32"/>
          <w:szCs w:val="32"/>
          <w:lang w:val="en-US" w:eastAsia="zh-CN"/>
        </w:rPr>
        <w:t>省市级科学普及机构，组织百场科普活动，覆盖受众超数万人次，科普与文化传播影响力持续扩大，彰显高校服务地方的责任担当。体制机制改革的深化，有效激发了科研人员的创新活力，为学校科研事业高质量发展提供了坚实的制度保障。</w:t>
      </w:r>
    </w:p>
    <w:p w14:paraId="7B026018">
      <w:pPr>
        <w:spacing w:line="560" w:lineRule="exact"/>
        <w:ind w:firstLine="643" w:firstLineChars="200"/>
        <w:rPr>
          <w:rFonts w:hint="default" w:ascii="Times New Roman" w:hAnsi="Times New Roman" w:eastAsia="方正楷体_GB2312" w:cs="Times New Roman"/>
          <w:b/>
          <w:bCs/>
          <w:sz w:val="32"/>
          <w:szCs w:val="32"/>
          <w:lang w:val="en-US" w:eastAsia="zh-CN"/>
        </w:rPr>
      </w:pPr>
      <w:r>
        <w:rPr>
          <w:rFonts w:hint="default" w:ascii="Times New Roman" w:hAnsi="Times New Roman" w:eastAsia="方正楷体_GB2312" w:cs="Times New Roman"/>
          <w:b/>
          <w:bCs/>
          <w:sz w:val="32"/>
          <w:szCs w:val="32"/>
          <w:lang w:val="en-US" w:eastAsia="zh-CN"/>
        </w:rPr>
        <w:t>（二）存在的问题</w:t>
      </w:r>
    </w:p>
    <w:p w14:paraId="15040B01">
      <w:pPr>
        <w:widowControl/>
        <w:shd w:val="clear" w:color="auto" w:fill="FFFFFF"/>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“十四五”期间，学校科学研究和社会服务事业取得了长足进步，但对照“加快强海”“更大申博”的战略目标，对照海南自由贸易港建设对高水平海洋大学的迫切需求，仍存在一些深层次问题和结构性短板。</w:t>
      </w:r>
    </w:p>
    <w:p w14:paraId="151CCC28">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1.有组织科研的系统性不强。</w:t>
      </w:r>
      <w:r>
        <w:rPr>
          <w:rFonts w:hint="default" w:ascii="Times New Roman" w:hAnsi="Times New Roman" w:eastAsia="仿宋_GB2312" w:cs="Times New Roman"/>
          <w:sz w:val="32"/>
          <w:szCs w:val="32"/>
          <w:lang w:val="en-US" w:eastAsia="zh-CN"/>
        </w:rPr>
        <w:t>科研活动仍存在一定程度的分散化、个体化倾向，跨学科跨学院的协同攻关机制尚不顺畅。国家级项目立项率偏低、高级别项目储备不足，横向项目规模偏小，部分重大课题存在结题困难，科研过程管理有待加强，重大标志性成果产出不足。</w:t>
      </w:r>
    </w:p>
    <w:p w14:paraId="2D85B12C">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2.学科交叉融合不够深入。</w:t>
      </w:r>
      <w:r>
        <w:rPr>
          <w:rFonts w:hint="default" w:ascii="Times New Roman" w:hAnsi="Times New Roman" w:eastAsia="仿宋_GB2312" w:cs="Times New Roman"/>
          <w:sz w:val="32"/>
          <w:szCs w:val="32"/>
          <w:lang w:val="en-US" w:eastAsia="zh-CN"/>
        </w:rPr>
        <w:t>海洋科学、水产养殖、生态环境等优势学科之间的融合度不高，未能形成多学科协同效应。在深海科技、海洋牧场、水产南繁等重点领域，虽有单点突破但缺乏系统性的研究布局，难以支撑海洋产业全链条发展的需求。</w:t>
      </w:r>
    </w:p>
    <w:p w14:paraId="776839F1">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3.科研平台支撑能力不足。</w:t>
      </w:r>
      <w:r>
        <w:rPr>
          <w:rFonts w:hint="default" w:ascii="Times New Roman" w:hAnsi="Times New Roman" w:eastAsia="仿宋_GB2312" w:cs="Times New Roman"/>
          <w:sz w:val="32"/>
          <w:szCs w:val="32"/>
          <w:lang w:val="en-US" w:eastAsia="zh-CN"/>
        </w:rPr>
        <w:t>省部级以上平台建设有待进一步加强，</w:t>
      </w:r>
      <w:r>
        <w:rPr>
          <w:rFonts w:hint="eastAsia" w:ascii="Times New Roman" w:hAnsi="Times New Roman" w:eastAsia="仿宋_GB2312" w:cs="Times New Roman"/>
          <w:sz w:val="32"/>
          <w:szCs w:val="32"/>
        </w:rPr>
        <w:t>团队协同与评价激励机制</w:t>
      </w:r>
      <w:r>
        <w:rPr>
          <w:rFonts w:hint="eastAsia" w:ascii="Times New Roman" w:hAnsi="Times New Roman" w:eastAsia="仿宋_GB2312" w:cs="Times New Roman"/>
          <w:sz w:val="32"/>
          <w:szCs w:val="32"/>
          <w:lang w:val="en-US" w:eastAsia="zh-CN"/>
        </w:rPr>
        <w:t>还需</w:t>
      </w:r>
      <w:r>
        <w:rPr>
          <w:rFonts w:hint="eastAsia" w:ascii="Times New Roman" w:hAnsi="Times New Roman" w:eastAsia="仿宋_GB2312" w:cs="Times New Roman"/>
          <w:sz w:val="32"/>
          <w:szCs w:val="32"/>
        </w:rPr>
        <w:t>完善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部分平台运行效能不高，对重大科研项目的承载能力和人才集聚效应尚未充分发挥。实质性国际合作偏少，未能有效</w:t>
      </w:r>
      <w:r>
        <w:rPr>
          <w:rFonts w:hint="eastAsia" w:ascii="Times New Roman" w:hAnsi="Times New Roman" w:eastAsia="仿宋_GB2312" w:cs="Times New Roman"/>
          <w:sz w:val="32"/>
          <w:szCs w:val="32"/>
          <w:lang w:val="en-US" w:eastAsia="zh-CN"/>
        </w:rPr>
        <w:t>融</w:t>
      </w:r>
      <w:r>
        <w:rPr>
          <w:rFonts w:hint="default" w:ascii="Times New Roman" w:hAnsi="Times New Roman" w:eastAsia="仿宋_GB2312" w:cs="Times New Roman"/>
          <w:sz w:val="32"/>
          <w:szCs w:val="32"/>
          <w:lang w:val="en-US" w:eastAsia="zh-CN"/>
        </w:rPr>
        <w:t>入全球海洋科技创新网络。</w:t>
      </w:r>
    </w:p>
    <w:p w14:paraId="5ED11681">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4.科技成果转化能力弱。</w:t>
      </w:r>
      <w:r>
        <w:rPr>
          <w:rFonts w:hint="default" w:ascii="Times New Roman" w:hAnsi="Times New Roman" w:eastAsia="仿宋_GB2312" w:cs="Times New Roman"/>
          <w:sz w:val="32"/>
          <w:szCs w:val="32"/>
          <w:lang w:val="en-US" w:eastAsia="zh-CN"/>
        </w:rPr>
        <w:t>科研成果本地转化率偏低，高价值专利占比不高，大量成果未能有效转化为现实生产力。职务科技成果赋权改革、技术经理人队伍建设、中试熟化平台布局等方面进展缓慢。大学科技园尚未完全实现市场化运营，对成果转化的支撑作用未能充分发挥。智库成果体系化、品牌化、常态化运作不足，成果转化率与显示度不高。</w:t>
      </w:r>
    </w:p>
    <w:p w14:paraId="6AEE2E92">
      <w:pPr>
        <w:spacing w:line="56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二、机遇与挑战</w:t>
      </w:r>
    </w:p>
    <w:p w14:paraId="4E7D8329">
      <w:pPr>
        <w:widowControl/>
        <w:shd w:val="clear" w:color="auto" w:fill="FFFFFF"/>
        <w:spacing w:line="560" w:lineRule="exact"/>
        <w:ind w:firstLine="640" w:firstLineChars="200"/>
        <w:rPr>
          <w:rFonts w:hint="default" w:ascii="Times New Roman" w:hAnsi="Times New Roman" w:eastAsia="仿宋_GB2312" w:cs="Times New Roman"/>
          <w:sz w:val="32"/>
          <w:szCs w:val="32"/>
        </w:rPr>
      </w:pPr>
      <w:bookmarkStart w:id="0" w:name="OLE_LINK7"/>
      <w:r>
        <w:rPr>
          <w:rFonts w:hint="default" w:ascii="Times New Roman" w:hAnsi="Times New Roman" w:eastAsia="仿宋_GB2312" w:cs="Times New Roman"/>
          <w:sz w:val="32"/>
          <w:szCs w:val="32"/>
        </w:rPr>
        <w:t>“十五五”时期是我国基本实现社会主义现代化夯实基础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全面发力的关键时期，是海南自由贸易港在封关运作新起点上全面深化改革开放</w:t>
      </w:r>
      <w:r>
        <w:rPr>
          <w:rFonts w:hint="eastAsia" w:ascii="Times New Roman" w:hAnsi="Times New Roman" w:eastAsia="仿宋_GB2312" w:cs="Times New Roman"/>
          <w:sz w:val="32"/>
          <w:szCs w:val="32"/>
          <w:lang w:eastAsia="zh-CN"/>
        </w:rPr>
        <w:t>、实现高质量发展的</w:t>
      </w:r>
      <w:r>
        <w:rPr>
          <w:rFonts w:hint="default"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关键</w:t>
      </w:r>
      <w:r>
        <w:rPr>
          <w:rFonts w:hint="default" w:ascii="Times New Roman" w:hAnsi="Times New Roman" w:eastAsia="仿宋_GB2312" w:cs="Times New Roman"/>
          <w:sz w:val="32"/>
          <w:szCs w:val="32"/>
        </w:rPr>
        <w:t>五年。对于正处于从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深度转海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加快强海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战略跃升期的海南热带海洋学院而言，这一时期的科学研究与社会服务事业既面临多重战略机遇的叠加赋能，也承受着复杂外部环境与内部结构性矛盾的双重考验。</w:t>
      </w:r>
    </w:p>
    <w:p w14:paraId="401D99EE">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lang w:eastAsia="zh-CN"/>
        </w:rPr>
        <w:t>（</w:t>
      </w:r>
      <w:r>
        <w:rPr>
          <w:rFonts w:hint="default" w:ascii="Times New Roman" w:hAnsi="Times New Roman" w:eastAsia="方正楷体_GB2312" w:cs="Times New Roman"/>
          <w:b/>
          <w:bCs/>
          <w:sz w:val="32"/>
          <w:szCs w:val="32"/>
          <w:lang w:val="en-US" w:eastAsia="zh-CN"/>
        </w:rPr>
        <w:t>一</w:t>
      </w:r>
      <w:r>
        <w:rPr>
          <w:rFonts w:hint="default" w:ascii="Times New Roman" w:hAnsi="Times New Roman" w:eastAsia="方正楷体_GB2312" w:cs="Times New Roman"/>
          <w:b/>
          <w:bCs/>
          <w:sz w:val="32"/>
          <w:szCs w:val="32"/>
          <w:lang w:eastAsia="zh-CN"/>
        </w:rPr>
        <w:t>）</w:t>
      </w:r>
      <w:r>
        <w:rPr>
          <w:rFonts w:hint="default" w:ascii="Times New Roman" w:hAnsi="Times New Roman" w:eastAsia="方正楷体_GB2312" w:cs="Times New Roman"/>
          <w:b/>
          <w:bCs/>
          <w:sz w:val="32"/>
          <w:szCs w:val="32"/>
        </w:rPr>
        <w:t>发展机遇</w:t>
      </w:r>
    </w:p>
    <w:p w14:paraId="2CC8112E">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1.科研范式变革带来发展新机遇。</w:t>
      </w:r>
      <w:r>
        <w:rPr>
          <w:rFonts w:hint="default" w:ascii="Times New Roman" w:hAnsi="Times New Roman" w:eastAsia="仿宋_GB2312" w:cs="Times New Roman"/>
          <w:sz w:val="32"/>
          <w:szCs w:val="32"/>
        </w:rPr>
        <w:t>人工智能等技术正在重塑科研方式，学科交叉融合成为常态。学校可发挥南海区位优势和长期积累的特色科研数据，在智慧海洋、水产南繁等方向找到新的发力点。</w:t>
      </w:r>
    </w:p>
    <w:p w14:paraId="3EF9D8E4">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2.海洋强省战略提供政策支持。</w:t>
      </w:r>
      <w:r>
        <w:rPr>
          <w:rFonts w:hint="default" w:ascii="Times New Roman" w:hAnsi="Times New Roman" w:eastAsia="仿宋_GB2312" w:cs="Times New Roman"/>
          <w:sz w:val="32"/>
          <w:szCs w:val="32"/>
        </w:rPr>
        <w:t>省委省政府明确支持学校建成全国同类型一流高校，并提出再造一个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海上海南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的目标。这种政策导向有助于学校争取项目资源、改善科研条件。</w:t>
      </w:r>
    </w:p>
    <w:p w14:paraId="4BDAB174">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3.崖州湾科技城带来协同优势。</w:t>
      </w:r>
      <w:r>
        <w:rPr>
          <w:rFonts w:hint="default" w:ascii="Times New Roman" w:hAnsi="Times New Roman" w:eastAsia="仿宋_GB2312" w:cs="Times New Roman"/>
          <w:sz w:val="32"/>
          <w:szCs w:val="32"/>
        </w:rPr>
        <w:t>科技城已汇聚近20所</w:t>
      </w:r>
      <w:r>
        <w:rPr>
          <w:rFonts w:hint="default" w:ascii="Times New Roman" w:hAnsi="Times New Roman" w:eastAsia="仿宋_GB2312" w:cs="Times New Roman"/>
          <w:sz w:val="32"/>
          <w:szCs w:val="32"/>
          <w:lang w:val="en-US" w:eastAsia="zh-CN"/>
        </w:rPr>
        <w:t>高水平涉海科研院所</w:t>
      </w:r>
      <w:r>
        <w:rPr>
          <w:rFonts w:hint="default" w:ascii="Times New Roman" w:hAnsi="Times New Roman" w:eastAsia="仿宋_GB2312" w:cs="Times New Roman"/>
          <w:sz w:val="32"/>
          <w:szCs w:val="32"/>
        </w:rPr>
        <w:t>，学校作为扎根三亚的唯一海洋类高校，具备就近合作的便利。四方共建机制深化，为共享科研设施、联合承担任务提供了更多可能。</w:t>
      </w:r>
    </w:p>
    <w:p w14:paraId="4AA717BA">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4.十年转型积累奠定良好基础。</w:t>
      </w:r>
      <w:r>
        <w:rPr>
          <w:rFonts w:hint="default" w:ascii="Times New Roman" w:hAnsi="Times New Roman" w:eastAsia="仿宋_GB2312" w:cs="Times New Roman"/>
          <w:sz w:val="32"/>
          <w:szCs w:val="32"/>
        </w:rPr>
        <w:t>科研经费持续增长，平台数量增加，在特色领域取得突破，锻炼了一支能够扎根一线的科研队伍。</w:t>
      </w:r>
    </w:p>
    <w:p w14:paraId="0746135D">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（二）面临挑战</w:t>
      </w:r>
    </w:p>
    <w:bookmarkEnd w:id="0"/>
    <w:p w14:paraId="4D9AADEC">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1.产业需求与科研供给存在鸿沟。</w:t>
      </w:r>
      <w:r>
        <w:rPr>
          <w:rFonts w:hint="default" w:ascii="Times New Roman" w:hAnsi="Times New Roman" w:eastAsia="仿宋_GB2312" w:cs="Times New Roman"/>
          <w:sz w:val="32"/>
          <w:szCs w:val="32"/>
        </w:rPr>
        <w:t>海洋产业需要能够解决实际问题的技术成果，但学校大部分成果仍停留在发表论文和实验室验证阶段，真正能够落地转化、被企业采用的成果占比不高，科研对产业发展的支撑作用尚未充分体现。</w:t>
      </w:r>
      <w:r>
        <w:rPr>
          <w:rFonts w:hint="eastAsia" w:ascii="Times New Roman" w:hAnsi="Times New Roman" w:eastAsia="仿宋_GB2312" w:cs="Times New Roman"/>
          <w:b w:val="0"/>
          <w:bCs w:val="0"/>
          <w:color w:val="auto"/>
          <w:sz w:val="32"/>
          <w:szCs w:val="32"/>
          <w:shd w:val="clear" w:color="auto" w:fill="auto"/>
        </w:rPr>
        <w:t>高质量的决策咨询报告、行业标准、发展规划等应用型成果产出不足，服务海洋强国、海洋强省、自由贸易港建设等国家重大战略需求的能力有待进一步凸显</w:t>
      </w:r>
      <w:r>
        <w:rPr>
          <w:rFonts w:hint="eastAsia" w:ascii="Times New Roman" w:hAnsi="Times New Roman" w:eastAsia="仿宋_GB2312" w:cs="Times New Roman"/>
          <w:b w:val="0"/>
          <w:bCs w:val="0"/>
          <w:color w:val="auto"/>
          <w:sz w:val="32"/>
          <w:szCs w:val="32"/>
          <w:shd w:val="clear" w:color="auto" w:fill="auto"/>
          <w:lang w:eastAsia="zh-CN"/>
        </w:rPr>
        <w:t>，</w:t>
      </w:r>
      <w:r>
        <w:rPr>
          <w:rFonts w:hint="eastAsia" w:ascii="Times New Roman" w:hAnsi="Times New Roman" w:eastAsia="仿宋_GB2312" w:cs="Times New Roman"/>
          <w:b w:val="0"/>
          <w:bCs w:val="0"/>
          <w:color w:val="auto"/>
          <w:sz w:val="32"/>
          <w:szCs w:val="32"/>
          <w:shd w:val="clear" w:color="auto" w:fill="auto"/>
        </w:rPr>
        <w:t>对省委省政府重大决策的支撑能力有待进一步提升。</w:t>
      </w:r>
    </w:p>
    <w:p w14:paraId="1D07FE91">
      <w:pPr>
        <w:widowControl/>
        <w:shd w:val="clear" w:color="auto" w:fill="auto"/>
        <w:spacing w:line="240" w:lineRule="auto"/>
        <w:ind w:firstLine="643"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2.同类院所竞争压力加大。</w:t>
      </w:r>
      <w:r>
        <w:rPr>
          <w:rFonts w:hint="default" w:ascii="Times New Roman" w:hAnsi="Times New Roman" w:eastAsia="仿宋_GB2312" w:cs="Times New Roman"/>
          <w:sz w:val="32"/>
          <w:szCs w:val="32"/>
        </w:rPr>
        <w:t>多所国内一流高校在崖州湾设立研究院，高水平人才和优质资源加速向头部集中。学校虽在热带海洋特色领域形成一定积累，但</w:t>
      </w:r>
      <w:r>
        <w:rPr>
          <w:rFonts w:ascii="仿宋_GB2312" w:hAnsi="宋体" w:eastAsia="仿宋_GB2312" w:cs="仿宋_GB2312"/>
          <w:color w:val="000000"/>
          <w:spacing w:val="0"/>
          <w:kern w:val="0"/>
          <w:position w:val="0"/>
          <w:sz w:val="31"/>
          <w:szCs w:val="31"/>
          <w:lang w:val="en-US" w:eastAsia="zh-CN" w:bidi="ar"/>
        </w:rPr>
        <w:t>教师原始创新能力较弱，缺乏承担重大科研项目、解决重大科技</w:t>
      </w:r>
      <w:r>
        <w:rPr>
          <w:rFonts w:hint="eastAsia" w:ascii="仿宋_GB2312" w:hAnsi="宋体" w:eastAsia="仿宋_GB2312" w:cs="仿宋_GB2312"/>
          <w:color w:val="000000"/>
          <w:spacing w:val="0"/>
          <w:kern w:val="0"/>
          <w:position w:val="0"/>
          <w:sz w:val="31"/>
          <w:szCs w:val="31"/>
          <w:lang w:val="en-US" w:eastAsia="zh-CN" w:bidi="ar"/>
        </w:rPr>
        <w:t>难题、面向重大战略需求的科研团队，</w:t>
      </w:r>
      <w:r>
        <w:rPr>
          <w:rFonts w:hint="default" w:ascii="Times New Roman" w:hAnsi="Times New Roman" w:eastAsia="仿宋_GB2312" w:cs="Times New Roman"/>
          <w:sz w:val="32"/>
          <w:szCs w:val="32"/>
        </w:rPr>
        <w:t>在争取国家级重大项目、建设高端科研平台等方面仍处于劣势。</w:t>
      </w:r>
    </w:p>
    <w:p w14:paraId="4662FE7B">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3.国际科技合作空间收窄。</w:t>
      </w:r>
      <w:r>
        <w:rPr>
          <w:rFonts w:hint="default" w:ascii="Times New Roman" w:hAnsi="Times New Roman" w:eastAsia="仿宋_GB2312" w:cs="Times New Roman"/>
          <w:sz w:val="32"/>
          <w:szCs w:val="32"/>
        </w:rPr>
        <w:t>涉海领域国际合作壁垒增高，部分国家对关键技术和设备出口加强管制。学校引进海外高层次人才、参与国际大科学计划、开展前沿联合研究的空间受到挤压，部分研究方向的推进可能因此放缓。</w:t>
      </w:r>
    </w:p>
    <w:p w14:paraId="2AB8B033">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4.科研力量协同攻关合力待凝聚。</w:t>
      </w:r>
      <w:r>
        <w:rPr>
          <w:rFonts w:hint="default" w:ascii="Times New Roman" w:hAnsi="Times New Roman" w:eastAsia="仿宋_GB2312" w:cs="Times New Roman"/>
          <w:sz w:val="32"/>
          <w:szCs w:val="32"/>
        </w:rPr>
        <w:t>新引进教师对海南本土情况和产业实际需求尚需加深了解，有组织科研的推进力度仍显不足。现有科研团队力量较为分散，未能形成体系化布局，</w:t>
      </w:r>
      <w:r>
        <w:rPr>
          <w:rFonts w:ascii="Times New Roman" w:hAnsi="Times New Roman" w:eastAsia="仿宋_GB2312" w:cs="Times New Roman"/>
          <w:sz w:val="32"/>
          <w:szCs w:val="32"/>
        </w:rPr>
        <w:t>理工科与人文社科之间的交叉融合机制仍需探索，跨学院、跨学科的攻关合力模式有待建立，</w:t>
      </w:r>
      <w:r>
        <w:rPr>
          <w:rFonts w:hint="default" w:ascii="Times New Roman" w:hAnsi="Times New Roman" w:eastAsia="仿宋_GB2312" w:cs="Times New Roman"/>
          <w:sz w:val="32"/>
          <w:szCs w:val="32"/>
        </w:rPr>
        <w:t>难以针对产业实际问题开展多学科协同攻关。</w:t>
      </w:r>
    </w:p>
    <w:p w14:paraId="7868EF1E">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三、“十五五”的战略思路与目标</w:t>
      </w:r>
    </w:p>
    <w:p w14:paraId="0E45B123">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（一）指导思想</w:t>
      </w:r>
    </w:p>
    <w:p w14:paraId="464B3B9E">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以习近平新时代中国特色社会主义思想为指导，深入贯彻党的二十大</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二十届</w:t>
      </w:r>
      <w:r>
        <w:rPr>
          <w:rFonts w:hint="default" w:ascii="Times New Roman" w:hAnsi="Times New Roman" w:eastAsia="仿宋_GB2312" w:cs="Times New Roman"/>
          <w:sz w:val="32"/>
          <w:szCs w:val="32"/>
          <w:lang w:val="en-US" w:eastAsia="zh-CN"/>
        </w:rPr>
        <w:t>历</w:t>
      </w:r>
      <w:r>
        <w:rPr>
          <w:rFonts w:hint="default" w:ascii="Times New Roman" w:hAnsi="Times New Roman" w:eastAsia="仿宋_GB2312" w:cs="Times New Roman"/>
          <w:sz w:val="32"/>
          <w:szCs w:val="32"/>
        </w:rPr>
        <w:t>次全会精神，全面落实习近平总书记关于海南</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重要讲话和指示批示精神，主动服务科技强国、海洋强国战略，紧密对接海南省“45432”现代化产业体系与海洋强省“131”战略框架，深度融入再造一个“海上海南”发展大局，一体推进教育科技人才发展，加快科技创新和产业创新深度融合，以科技创新赋能海洋新质生产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以优秀区域服务能力服务国家战略和地方经济发展</w:t>
      </w:r>
      <w:r>
        <w:rPr>
          <w:rFonts w:hint="default" w:ascii="Times New Roman" w:hAnsi="Times New Roman" w:eastAsia="仿宋_GB2312" w:cs="Times New Roman"/>
          <w:sz w:val="32"/>
          <w:szCs w:val="32"/>
        </w:rPr>
        <w:t>。</w:t>
      </w:r>
    </w:p>
    <w:p w14:paraId="4684C215">
      <w:pPr>
        <w:widowControl/>
        <w:shd w:val="clear" w:color="auto" w:fill="FFFFFF"/>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锚定学校“更大申博”和建设国内一流海洋大学的办学目标，坚持需求导向，以服务国家重大战略和区域经济社会发展为指引，以构建“热带海洋+”特色鲜明的科技创新体系、强化应用研究为核心任务；</w:t>
      </w:r>
      <w:r>
        <w:rPr>
          <w:rFonts w:hint="eastAsia" w:ascii="Times New Roman" w:hAnsi="Times New Roman" w:eastAsia="仿宋_GB2312" w:cs="Times New Roman"/>
          <w:sz w:val="32"/>
          <w:szCs w:val="32"/>
        </w:rPr>
        <w:t>以服务</w:t>
      </w:r>
      <w:r>
        <w:rPr>
          <w:rFonts w:hint="eastAsia" w:ascii="Times New Roman" w:hAnsi="Times New Roman" w:eastAsia="仿宋_GB2312" w:cs="Times New Roman"/>
          <w:color w:val="auto"/>
          <w:kern w:val="2"/>
          <w:sz w:val="32"/>
          <w:szCs w:val="32"/>
          <w:shd w:val="clear" w:color="auto" w:fill="auto"/>
        </w:rPr>
        <w:t>海洋强省</w:t>
      </w:r>
      <w:r>
        <w:rPr>
          <w:rFonts w:hint="eastAsia" w:ascii="Times New Roman" w:hAnsi="Times New Roman" w:eastAsia="仿宋_GB2312" w:cs="Times New Roman"/>
          <w:color w:val="auto"/>
          <w:kern w:val="2"/>
          <w:sz w:val="32"/>
          <w:szCs w:val="32"/>
          <w:shd w:val="clear" w:color="auto" w:fill="auto"/>
          <w:lang w:eastAsia="zh-CN"/>
        </w:rPr>
        <w:t>、</w:t>
      </w:r>
      <w:r>
        <w:rPr>
          <w:rFonts w:hint="eastAsia" w:ascii="Times New Roman" w:hAnsi="Times New Roman" w:eastAsia="仿宋_GB2312" w:cs="Times New Roman"/>
          <w:color w:val="auto"/>
          <w:kern w:val="2"/>
          <w:sz w:val="32"/>
          <w:szCs w:val="32"/>
          <w:shd w:val="clear" w:color="auto" w:fill="auto"/>
        </w:rPr>
        <w:t>文化强省</w:t>
      </w:r>
      <w:r>
        <w:rPr>
          <w:rFonts w:hint="eastAsia" w:ascii="Times New Roman" w:hAnsi="Times New Roman" w:eastAsia="仿宋_GB2312" w:cs="Times New Roman"/>
          <w:sz w:val="32"/>
          <w:szCs w:val="32"/>
        </w:rPr>
        <w:t>和</w:t>
      </w:r>
      <w:r>
        <w:rPr>
          <w:rFonts w:hint="eastAsia" w:ascii="Times New Roman" w:hAnsi="Times New Roman" w:eastAsia="仿宋_GB2312" w:cs="Times New Roman"/>
          <w:color w:val="auto"/>
          <w:kern w:val="2"/>
          <w:sz w:val="32"/>
          <w:szCs w:val="32"/>
          <w:shd w:val="clear" w:color="auto" w:fill="auto"/>
        </w:rPr>
        <w:t>自贸港</w:t>
      </w:r>
      <w:r>
        <w:rPr>
          <w:rFonts w:hint="eastAsia" w:ascii="Times New Roman" w:hAnsi="Times New Roman" w:eastAsia="仿宋_GB2312" w:cs="Times New Roman"/>
          <w:sz w:val="32"/>
          <w:szCs w:val="32"/>
        </w:rPr>
        <w:t>建设</w:t>
      </w:r>
      <w:r>
        <w:rPr>
          <w:rFonts w:ascii="Times New Roman" w:hAnsi="Times New Roman" w:eastAsia="仿宋_GB2312" w:cs="Times New Roman"/>
          <w:sz w:val="32"/>
          <w:szCs w:val="32"/>
        </w:rPr>
        <w:t>等</w:t>
      </w:r>
      <w:r>
        <w:rPr>
          <w:rFonts w:hint="eastAsia" w:ascii="Times New Roman" w:hAnsi="Times New Roman" w:eastAsia="仿宋_GB2312" w:cs="Times New Roman"/>
          <w:b w:val="0"/>
          <w:bCs w:val="0"/>
          <w:color w:val="auto"/>
          <w:sz w:val="32"/>
          <w:szCs w:val="32"/>
          <w:shd w:val="clear" w:color="auto" w:fill="auto"/>
        </w:rPr>
        <w:t>构建具有热带海洋特色的</w:t>
      </w:r>
      <w:r>
        <w:rPr>
          <w:rFonts w:hint="eastAsia" w:ascii="Times New Roman" w:hAnsi="Times New Roman" w:eastAsia="仿宋_GB2312" w:cs="Times New Roman"/>
          <w:b w:val="0"/>
          <w:bCs w:val="0"/>
          <w:color w:val="auto"/>
          <w:sz w:val="32"/>
          <w:szCs w:val="32"/>
          <w:shd w:val="clear" w:color="auto" w:fill="auto"/>
          <w:lang w:val="en-US" w:eastAsia="zh-CN"/>
        </w:rPr>
        <w:t>科技</w:t>
      </w:r>
      <w:r>
        <w:rPr>
          <w:rFonts w:hint="eastAsia" w:ascii="Times New Roman" w:hAnsi="Times New Roman" w:eastAsia="仿宋_GB2312" w:cs="Times New Roman"/>
          <w:b w:val="0"/>
          <w:bCs w:val="0"/>
          <w:color w:val="auto"/>
          <w:sz w:val="32"/>
          <w:szCs w:val="32"/>
          <w:shd w:val="clear" w:color="auto" w:fill="auto"/>
        </w:rPr>
        <w:t>创新体系</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2"/>
          <w:szCs w:val="32"/>
        </w:rPr>
        <w:t>强化路径创新，以“精准培育、产研协同”为牵引，全面推进有组织科研；突出绩效导向，着力推动“自然科学倍增、人文社科繁荣”，实现学校科技创新能力与社会服务效能的系统性跃升，为陆海统筹、山海联动、向海图强汇聚强劲科技动能，奋力书写学校高质量发展科技新篇章。</w:t>
      </w:r>
    </w:p>
    <w:p w14:paraId="02A74F12">
      <w:pPr>
        <w:widowControl w:val="0"/>
        <w:spacing w:line="560" w:lineRule="exact"/>
        <w:ind w:firstLine="643" w:firstLineChars="200"/>
        <w:jc w:val="both"/>
        <w:rPr>
          <w:rFonts w:hint="default" w:ascii="Times New Roman" w:hAnsi="Times New Roman" w:eastAsia="方正楷体_GB2312" w:cs="Times New Roman"/>
          <w:b/>
          <w:bCs/>
          <w:kern w:val="2"/>
          <w:sz w:val="32"/>
          <w:szCs w:val="32"/>
          <w:lang w:val="en-US" w:eastAsia="zh-CN" w:bidi="ar-SA"/>
        </w:rPr>
      </w:pPr>
      <w:r>
        <w:rPr>
          <w:rFonts w:hint="default" w:ascii="Times New Roman" w:hAnsi="Times New Roman" w:eastAsia="方正楷体_GB2312" w:cs="Times New Roman"/>
          <w:b/>
          <w:bCs/>
          <w:kern w:val="2"/>
          <w:sz w:val="32"/>
          <w:szCs w:val="32"/>
          <w:lang w:val="en-US" w:eastAsia="zh-CN" w:bidi="ar-SA"/>
        </w:rPr>
        <w:t>（二）基本原则</w:t>
      </w:r>
    </w:p>
    <w:p w14:paraId="5DFB3D18">
      <w:pPr>
        <w:widowControl w:val="0"/>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bCs/>
          <w:kern w:val="2"/>
          <w:sz w:val="32"/>
          <w:szCs w:val="32"/>
          <w:lang w:val="en-US" w:eastAsia="zh-CN" w:bidi="ar-SA"/>
        </w:rPr>
        <w:t>1.党的全面领导。</w:t>
      </w:r>
      <w:r>
        <w:rPr>
          <w:rFonts w:hint="default" w:ascii="Times New Roman" w:hAnsi="Times New Roman" w:eastAsia="仿宋_GB2312" w:cs="Times New Roman"/>
          <w:sz w:val="32"/>
          <w:szCs w:val="32"/>
          <w:lang w:val="en-US" w:eastAsia="zh-CN"/>
        </w:rPr>
        <w:t>坚持党对科研工作的全面领导，坚定立德树人根本任务，面向世界科技前沿、面向国家重大战略需求，围绕海南自贸港建设“三区一中心”发展定位和区域经济社会发展需求，打造高能级科研创新平台和创新能力强的科研队伍。</w:t>
      </w:r>
    </w:p>
    <w:p w14:paraId="39C05C56">
      <w:pPr>
        <w:widowControl w:val="0"/>
        <w:numPr>
          <w:ilvl w:val="0"/>
          <w:numId w:val="0"/>
        </w:numPr>
        <w:spacing w:line="560" w:lineRule="exact"/>
        <w:ind w:firstLine="643" w:firstLineChars="200"/>
        <w:jc w:val="both"/>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kern w:val="2"/>
          <w:sz w:val="32"/>
          <w:szCs w:val="32"/>
          <w:lang w:val="en-US" w:eastAsia="zh-CN" w:bidi="ar-SA"/>
        </w:rPr>
        <w:t>2.特色发展与交叉融合。</w:t>
      </w:r>
      <w:r>
        <w:rPr>
          <w:rFonts w:hint="default" w:ascii="Times New Roman" w:hAnsi="Times New Roman" w:eastAsia="仿宋_GB2312" w:cs="Times New Roman"/>
          <w:sz w:val="32"/>
          <w:szCs w:val="32"/>
          <w:lang w:val="en-US" w:eastAsia="zh-CN"/>
        </w:rPr>
        <w:t>聚焦“陆海空”优势领域，持续优化和做强学校特色优势学科科研，进一步凝练学科方向，以海洋科学与技术学科群和海洋生命学科群等优势学科群为引领，集中力量进行科技攻关。</w:t>
      </w:r>
      <w:r>
        <w:rPr>
          <w:rFonts w:hint="eastAsia"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lang w:val="en-US" w:eastAsia="zh-CN"/>
        </w:rPr>
        <w:t>海洋生态环境、海洋运输、海洋旅游和海洋文化等学科群为支撑，多学科交叉融合，带动学校整体学科水平提升，实现学校高质量发展。</w:t>
      </w:r>
    </w:p>
    <w:p w14:paraId="497025C7">
      <w:pPr>
        <w:widowControl w:val="0"/>
        <w:numPr>
          <w:ilvl w:val="0"/>
          <w:numId w:val="0"/>
        </w:numPr>
        <w:spacing w:line="560" w:lineRule="exact"/>
        <w:ind w:left="0" w:leftChars="0" w:firstLine="643" w:firstLineChars="200"/>
        <w:jc w:val="both"/>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kern w:val="2"/>
          <w:sz w:val="32"/>
          <w:szCs w:val="32"/>
          <w:lang w:val="en-US" w:eastAsia="zh-CN" w:bidi="ar-SA"/>
        </w:rPr>
        <w:t>3.重点突破与全面提升。</w:t>
      </w:r>
      <w:r>
        <w:rPr>
          <w:rFonts w:hint="default" w:ascii="Times New Roman" w:hAnsi="Times New Roman" w:eastAsia="仿宋_GB2312" w:cs="Times New Roman"/>
          <w:sz w:val="32"/>
          <w:szCs w:val="32"/>
          <w:lang w:val="en-US" w:eastAsia="zh-CN"/>
        </w:rPr>
        <w:t>在全面有序推进科研建设各项工作，抓好高层次课题、高水平论文、高级别获奖以及科研经费等常规指标的基础上，重点推进科研显示度高的国家级项目、军民融合项目、科研聚合力强的科研平台与科研团队、促进产业升级的成果转化等工作，重点培育省级科技最高级别奖项，努力整合多种资源，形成科研合力。</w:t>
      </w:r>
    </w:p>
    <w:p w14:paraId="552D008D">
      <w:pPr>
        <w:widowControl w:val="0"/>
        <w:numPr>
          <w:ilvl w:val="0"/>
          <w:numId w:val="0"/>
        </w:numPr>
        <w:spacing w:line="560" w:lineRule="exact"/>
        <w:ind w:left="0" w:leftChars="0" w:firstLine="643" w:firstLineChars="200"/>
        <w:jc w:val="both"/>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kern w:val="2"/>
          <w:sz w:val="32"/>
          <w:szCs w:val="32"/>
          <w:lang w:val="en-US" w:eastAsia="zh-CN" w:bidi="ar-SA"/>
        </w:rPr>
        <w:t>4.需求牵引与产研协同。</w:t>
      </w:r>
      <w:r>
        <w:rPr>
          <w:rFonts w:hint="default" w:ascii="Times New Roman" w:hAnsi="Times New Roman" w:eastAsia="方正仿宋_GB2312" w:cs="Times New Roman"/>
          <w:b w:val="0"/>
          <w:bCs w:val="0"/>
          <w:kern w:val="0"/>
          <w:sz w:val="32"/>
          <w:szCs w:val="32"/>
          <w:shd w:val="clear" w:color="auto" w:fill="FFFFFF"/>
          <w:lang w:val="en-US" w:eastAsia="zh-CN" w:bidi="ar"/>
        </w:rPr>
        <w:t>精</w:t>
      </w:r>
      <w:r>
        <w:rPr>
          <w:rFonts w:hint="default" w:ascii="Times New Roman" w:hAnsi="Times New Roman" w:eastAsia="仿宋_GB2312" w:cs="Times New Roman"/>
          <w:sz w:val="32"/>
          <w:szCs w:val="32"/>
          <w:lang w:val="en-US" w:eastAsia="zh-CN"/>
        </w:rPr>
        <w:t>准对接自贸港产业发展需求，完善政产学研用协同创新机制，推动科技成果从“实验室”走向“生产线”，提升社会服务精准度与实效性。</w:t>
      </w:r>
    </w:p>
    <w:p w14:paraId="0D9C0DBC">
      <w:pPr>
        <w:widowControl w:val="0"/>
        <w:spacing w:line="560" w:lineRule="exact"/>
        <w:ind w:firstLine="643" w:firstLineChars="200"/>
        <w:jc w:val="both"/>
        <w:rPr>
          <w:rFonts w:hint="default" w:ascii="Times New Roman" w:hAnsi="Times New Roman" w:eastAsia="方正楷体_GB2312" w:cs="Times New Roman"/>
          <w:b/>
          <w:bCs/>
          <w:kern w:val="2"/>
          <w:sz w:val="32"/>
          <w:szCs w:val="32"/>
          <w:lang w:val="en-US" w:eastAsia="zh-CN" w:bidi="ar-SA"/>
        </w:rPr>
      </w:pPr>
      <w:r>
        <w:rPr>
          <w:rFonts w:hint="default" w:ascii="Times New Roman" w:hAnsi="Times New Roman" w:eastAsia="方正楷体_GB2312" w:cs="Times New Roman"/>
          <w:b/>
          <w:bCs/>
          <w:kern w:val="2"/>
          <w:sz w:val="32"/>
          <w:szCs w:val="32"/>
          <w:lang w:val="en-US" w:eastAsia="zh-CN" w:bidi="ar-SA"/>
        </w:rPr>
        <w:t>（三）总体目标</w:t>
      </w:r>
    </w:p>
    <w:p w14:paraId="36C79F11">
      <w:pPr>
        <w:widowControl/>
        <w:shd w:val="clear" w:color="auto" w:fill="FFFFFF"/>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聚焦国家和区域发展重大需求，进一步凝练学科方向，培育服务国家战略、支撑区域创新产业发展的若干创新团队。瞄准水产南繁、海洋科学、海洋运输、海洋装备、海洋牧场、大健康、海洋旅游经济和海洋合作与治理等若干方向，持续攻关，产出具有标志性成果，实现国家科技奖项的突破。以学校理工类优势特色学科为基础，整合学校省部级重点实验室、工程中心等科研平台，争创国家级创新平台，加强校级科研平台培育，优化省部级科研创新平台体系。以政产学研用结合为纽带，以体制机制创新为保障，加强协同创新，加快成果转化，积极参与国际科技合作与竞争，全面提升科学研究水平和服务地方能力。</w:t>
      </w:r>
    </w:p>
    <w:p w14:paraId="232E2ABE">
      <w:pPr>
        <w:widowControl/>
        <w:shd w:val="clear" w:color="auto" w:fill="FFFFFF"/>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2030年，学校将建成特色鲜明、体系健全、效能卓越的高水平科研与创新体系，整体创新能力进入国内海洋类高校前列，成为支撑国家海洋强国战略与海南自贸港建设的核心创新策源地和人才高地。着力构建以高端平台为基石、以精锐团队为核心、以现代化科研空间为承载、以转化枢纽为引擎的“四位一体”战略支撑体系，并以此驱动科研产出与贡献的全面跃升。</w:t>
      </w:r>
    </w:p>
    <w:p w14:paraId="3D2A6D27">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（四）具体目标</w:t>
      </w:r>
    </w:p>
    <w:p w14:paraId="1FAA388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1.科研创新能力整体跃升。</w:t>
      </w:r>
      <w:r>
        <w:rPr>
          <w:rFonts w:hint="default" w:ascii="Times New Roman" w:hAnsi="Times New Roman" w:eastAsia="仿宋_GB2312" w:cs="Times New Roman"/>
          <w:sz w:val="32"/>
          <w:szCs w:val="32"/>
        </w:rPr>
        <w:t>高层次科研平台集群建设取得新进展，围绕海洋科学、海洋生物、水产南繁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海洋旅游</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洋运输等优势领域，与知名国企合作共建国家级科研平台取得新突破，根据学校“强海”发展需求，调整布局，新增若干省部级科研平台；大力开展有组织科研，加强重大科研项目培育，协同开展重大科技攻关，力争国家级项目立项</w:t>
      </w:r>
      <w:r>
        <w:rPr>
          <w:rFonts w:hint="default" w:ascii="Times New Roman" w:hAnsi="Times New Roman" w:eastAsia="仿宋_GB2312" w:cs="Times New Roman"/>
          <w:sz w:val="32"/>
          <w:szCs w:val="32"/>
          <w:lang w:val="en-US" w:eastAsia="zh-CN"/>
        </w:rPr>
        <w:t>数量实现跨越式增长</w:t>
      </w:r>
      <w:r>
        <w:rPr>
          <w:rFonts w:hint="default" w:ascii="Times New Roman" w:hAnsi="Times New Roman" w:eastAsia="仿宋_GB2312" w:cs="Times New Roman"/>
          <w:sz w:val="32"/>
          <w:szCs w:val="32"/>
        </w:rPr>
        <w:t>，省部级项目立项数量实现逐年递增，原始创新能力和关键领域科研攻关能力大幅提升；聚焦海洋科学、水产南繁、海洋遥感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海洋人文等领域产出一批高水平科研成果，在省部级科研成果奖励</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rPr>
        <w:t>实现等级和数量稳步提升，争取在省级最高科研成果奖励中取得突破，强力服务海南自贸港建设。</w:t>
      </w:r>
    </w:p>
    <w:p w14:paraId="60465D57">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2.高水平科研团队支撑有力。</w:t>
      </w:r>
      <w:r>
        <w:rPr>
          <w:rFonts w:hint="default" w:ascii="Times New Roman" w:hAnsi="Times New Roman" w:eastAsia="仿宋_GB2312" w:cs="Times New Roman"/>
          <w:sz w:val="32"/>
          <w:szCs w:val="32"/>
        </w:rPr>
        <w:t>根据学科发展布局，着力引进具有国际影响力的战略科学家、领军人才、优秀青年和创新团队，组建若干跨学科、高协同、能攻坚的国家级及省部级重点领域创新团队；实施校级科研创新团队培育计划，在校内遴选并重点培育兼具研发管理能力、产业洞察力与技术成果转移转化能力的复合型团队，为科技创新和成果转化提供根本支撑。以“骨干引领、青年成长”为导向，构建结构合理的人才梯队，增强团队创新活力与服务效能，为学校一流海洋大学建设提供有力的人才支撑。</w:t>
      </w:r>
    </w:p>
    <w:p w14:paraId="0677C074">
      <w:pPr>
        <w:widowControl/>
        <w:shd w:val="clear" w:color="auto" w:fill="FFFFFF"/>
        <w:spacing w:line="560" w:lineRule="exact"/>
        <w:ind w:firstLine="643" w:firstLineChars="200"/>
        <w:rPr>
          <w:rFonts w:hint="default" w:ascii="Times New Roman" w:hAnsi="Times New Roman" w:eastAsia="仿宋_GB2312" w:cs="Times New Roman"/>
          <w:sz w:val="32"/>
          <w:szCs w:val="32"/>
        </w:rPr>
      </w:pPr>
      <w:bookmarkStart w:id="1" w:name="OLE_LINK8"/>
      <w:r>
        <w:rPr>
          <w:rFonts w:hint="default" w:ascii="Times New Roman" w:hAnsi="Times New Roman" w:eastAsia="仿宋_GB2312" w:cs="Times New Roman"/>
          <w:b/>
          <w:bCs/>
          <w:sz w:val="32"/>
          <w:szCs w:val="32"/>
          <w:lang w:val="en-US" w:eastAsia="zh-CN"/>
        </w:rPr>
        <w:t>3.现代化科研空间优化升级。</w:t>
      </w:r>
      <w:r>
        <w:rPr>
          <w:rFonts w:hint="default" w:ascii="Times New Roman" w:hAnsi="Times New Roman" w:eastAsia="仿宋_GB2312" w:cs="Times New Roman"/>
          <w:sz w:val="32"/>
          <w:szCs w:val="32"/>
        </w:rPr>
        <w:t>围绕海域、岛礁、陆域空间拓展等系统布局海陆空等科研基础设施。争取三亚及周边海域、岛礁的使用权，建设野外科学观测站等，为海洋科学、生态保护等研究提供原位实验与观测基地。推动与地方政府合作，规划新增办学与科研用地，支持我校国家大学科技园“一园两区”建设，打造科技成果转化中心。合理规划现有空间，打造集基础研究、应用研发、工程化验证于一体的综合性海洋科研大楼。</w:t>
      </w:r>
      <w:bookmarkEnd w:id="1"/>
    </w:p>
    <w:p w14:paraId="3B1EE08E">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4.大学科技园重塑取得突破。</w:t>
      </w:r>
      <w:r>
        <w:rPr>
          <w:rFonts w:hint="default" w:ascii="Times New Roman" w:hAnsi="Times New Roman" w:eastAsia="仿宋_GB2312" w:cs="Times New Roman"/>
          <w:sz w:val="32"/>
          <w:szCs w:val="32"/>
        </w:rPr>
        <w:t>以体制机制改革为突破，构建“学校主导、市场运作、多方协同”的现代化治理模式，全面激活发展动能。优化空间与功能布局，着力推动“一园两区”布局，</w:t>
      </w:r>
      <w:r>
        <w:rPr>
          <w:rFonts w:hint="default" w:ascii="Times New Roman" w:hAnsi="Times New Roman" w:eastAsia="仿宋_GB2312" w:cs="Times New Roman"/>
          <w:sz w:val="32"/>
          <w:szCs w:val="32"/>
          <w:lang w:val="en-US" w:eastAsia="zh-CN"/>
        </w:rPr>
        <w:t>牵头成立“崖州湾国家大学科技园高校联盟”</w:t>
      </w:r>
      <w:r>
        <w:rPr>
          <w:rFonts w:hint="default" w:ascii="Times New Roman" w:hAnsi="Times New Roman" w:eastAsia="仿宋_GB2312" w:cs="Times New Roman"/>
          <w:sz w:val="32"/>
          <w:szCs w:val="32"/>
        </w:rPr>
        <w:t>，重点建设海洋特色鲜明的专业孵化器、概念验证中心和中试熟化基地。深化“产学研用”融合，构建“基础研究—技术攻关—成果转化—企业孵化—产业集聚”的全链条培育生态。到2030年，将大学科技园建设成为在热带海洋领域具有鲜明特色和区域影响力的示范性科创高地，显著提升学校科技成果转化效率与产业贡献度，有力反哺学科建设与人才培养。</w:t>
      </w:r>
    </w:p>
    <w:p w14:paraId="2A998D3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5.校院协同发展纵深推进。</w:t>
      </w:r>
      <w:r>
        <w:rPr>
          <w:rFonts w:hint="default" w:ascii="Times New Roman" w:hAnsi="Times New Roman" w:eastAsia="仿宋_GB2312" w:cs="Times New Roman"/>
          <w:sz w:val="32"/>
          <w:szCs w:val="32"/>
        </w:rPr>
        <w:t>校本部将充分发挥自身在热带海洋学科、人才与教育资源方面的核心优势，主动对接、深度融入、协同创新，与海南省海洋与渔业科学院协同聚焦应用研究与产业服务，与崖州湾创新研究院（及崖州湾科技城）协同聚焦前沿探索与高层次创新，构建“一体两翼、优势互补、共赢发展”的紧密协同关系，共同服务国家海洋强国战略与海南自由贸易港建设。</w:t>
      </w:r>
    </w:p>
    <w:p w14:paraId="5FCA4FF7">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6.社会服务能力显著增强。</w:t>
      </w:r>
      <w:r>
        <w:rPr>
          <w:rFonts w:hint="default" w:ascii="Times New Roman" w:hAnsi="Times New Roman" w:eastAsia="仿宋_GB2312" w:cs="Times New Roman"/>
          <w:b w:val="0"/>
          <w:bCs w:val="0"/>
          <w:sz w:val="32"/>
          <w:szCs w:val="32"/>
          <w:lang w:val="en-US" w:eastAsia="zh-CN"/>
        </w:rPr>
        <w:t>以贡献求支持、以科技创新</w:t>
      </w:r>
      <w:r>
        <w:rPr>
          <w:rFonts w:hint="default" w:ascii="Times New Roman" w:hAnsi="Times New Roman" w:eastAsia="仿宋_GB2312" w:cs="Times New Roman"/>
          <w:sz w:val="32"/>
          <w:szCs w:val="32"/>
        </w:rPr>
        <w:t>促进区域社会经济发展，精准对接自贸港建设发展需求，通过人才培养和智力支撑、科研攻关和技术突破、思想传播和文化引领等，加快科研成果转化，推动区域经济转型和产业快速发展，使学校成为国家、区域和产业创新体系建设的重要力量。</w:t>
      </w:r>
    </w:p>
    <w:p w14:paraId="2679DDF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四、主要任务与具体举措</w:t>
      </w:r>
    </w:p>
    <w:p w14:paraId="4E4BBDBB">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坚持系统观念，统筹推进</w:t>
      </w:r>
      <w:r>
        <w:rPr>
          <w:rFonts w:hint="default" w:ascii="Times New Roman" w:hAnsi="Times New Roman" w:eastAsia="仿宋_GB2312" w:cs="Times New Roman"/>
          <w:sz w:val="32"/>
          <w:szCs w:val="32"/>
          <w:lang w:eastAsia="zh-CN"/>
        </w:rPr>
        <w:t>五大</w:t>
      </w:r>
      <w:r>
        <w:rPr>
          <w:rFonts w:hint="default" w:ascii="Times New Roman" w:hAnsi="Times New Roman" w:eastAsia="仿宋_GB2312" w:cs="Times New Roman"/>
          <w:sz w:val="32"/>
          <w:szCs w:val="32"/>
        </w:rPr>
        <w:t>工程</w:t>
      </w:r>
      <w:r>
        <w:rPr>
          <w:rFonts w:hint="default" w:ascii="Times New Roman" w:hAnsi="Times New Roman" w:eastAsia="仿宋_GB2312" w:cs="Times New Roman"/>
          <w:sz w:val="32"/>
          <w:szCs w:val="32"/>
          <w:lang w:eastAsia="zh-CN"/>
        </w:rPr>
        <w:t>二十项</w:t>
      </w:r>
      <w:r>
        <w:rPr>
          <w:rFonts w:hint="default" w:ascii="Times New Roman" w:hAnsi="Times New Roman" w:eastAsia="仿宋_GB2312" w:cs="Times New Roman"/>
          <w:sz w:val="32"/>
          <w:szCs w:val="32"/>
        </w:rPr>
        <w:t>计划，以平台跃升筑牢创新基石，以能力提升锻造科研高</w:t>
      </w:r>
      <w:r>
        <w:rPr>
          <w:rFonts w:hint="default" w:ascii="Times New Roman" w:hAnsi="Times New Roman" w:eastAsia="仿宋_GB2312" w:cs="Times New Roman"/>
          <w:sz w:val="32"/>
          <w:szCs w:val="32"/>
          <w:lang w:val="en-US" w:eastAsia="zh-CN"/>
        </w:rPr>
        <w:t>峰</w:t>
      </w:r>
      <w:r>
        <w:rPr>
          <w:rFonts w:hint="default" w:ascii="Times New Roman" w:hAnsi="Times New Roman" w:eastAsia="仿宋_GB2312" w:cs="Times New Roman"/>
          <w:sz w:val="32"/>
          <w:szCs w:val="32"/>
        </w:rPr>
        <w:t>，以社会服务赋能经济发展，以科技合作拓展发展空间，以管理创新激发内生动力，构建全链条、一体化的科研发展新格局。</w:t>
      </w:r>
    </w:p>
    <w:p w14:paraId="6AA53E75">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（一）科研平台跃升工程</w:t>
      </w:r>
    </w:p>
    <w:p w14:paraId="6D30C4DE">
      <w:pPr>
        <w:widowControl/>
        <w:shd w:val="clear" w:color="auto" w:fill="FFFFFF"/>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1.科研条件建设计划。</w:t>
      </w:r>
      <w:r>
        <w:rPr>
          <w:rFonts w:hint="default" w:ascii="Times New Roman" w:hAnsi="Times New Roman" w:eastAsia="仿宋_GB2312" w:cs="Times New Roman"/>
          <w:sz w:val="32"/>
          <w:szCs w:val="32"/>
        </w:rPr>
        <w:t>科学谋划并系统布局</w:t>
      </w:r>
      <w:r>
        <w:rPr>
          <w:rFonts w:hint="eastAsia" w:ascii="Times New Roman" w:hAnsi="Times New Roman" w:eastAsia="仿宋_GB2312" w:cs="Times New Roman"/>
          <w:sz w:val="32"/>
          <w:szCs w:val="32"/>
          <w:lang w:val="en-US" w:eastAsia="zh-CN"/>
        </w:rPr>
        <w:t>深远海</w:t>
      </w:r>
      <w:r>
        <w:rPr>
          <w:rFonts w:hint="default" w:ascii="Times New Roman" w:hAnsi="Times New Roman" w:eastAsia="仿宋_GB2312" w:cs="Times New Roman"/>
          <w:sz w:val="32"/>
          <w:szCs w:val="32"/>
        </w:rPr>
        <w:t>科考船、深海养殖工船、海洋</w:t>
      </w:r>
      <w:r>
        <w:rPr>
          <w:rFonts w:hint="eastAsia" w:ascii="Times New Roman" w:hAnsi="Times New Roman" w:eastAsia="仿宋_GB2312" w:cs="Times New Roman"/>
          <w:sz w:val="32"/>
          <w:szCs w:val="32"/>
          <w:lang w:val="en-US" w:eastAsia="zh-CN"/>
        </w:rPr>
        <w:t>遥感</w:t>
      </w:r>
      <w:r>
        <w:rPr>
          <w:rFonts w:hint="default" w:ascii="Times New Roman" w:hAnsi="Times New Roman" w:eastAsia="仿宋_GB2312" w:cs="Times New Roman"/>
          <w:sz w:val="32"/>
          <w:szCs w:val="32"/>
        </w:rPr>
        <w:t>卫星等重大海洋装备的建设、运维与应用，为深远海探测与产业服务提供坚实装备支撑。加速推进南海近岸海洋综合调查中心建设，依托国债项目完善调查装备体系，全面夯实近岸海洋综合调查能力基础。</w:t>
      </w:r>
      <w:r>
        <w:rPr>
          <w:rFonts w:hint="default" w:ascii="Times New Roman" w:hAnsi="Times New Roman" w:eastAsia="仿宋_GB2312" w:cs="Times New Roman"/>
          <w:sz w:val="32"/>
          <w:szCs w:val="32"/>
          <w:lang w:val="en-US" w:eastAsia="zh-CN"/>
        </w:rPr>
        <w:t>加强</w:t>
      </w:r>
      <w:r>
        <w:rPr>
          <w:rFonts w:hint="default" w:ascii="Times New Roman" w:hAnsi="Times New Roman" w:eastAsia="仿宋_GB2312" w:cs="Times New Roman"/>
          <w:sz w:val="32"/>
          <w:szCs w:val="32"/>
        </w:rPr>
        <w:t>现有海域及科研基地</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开放与建设</w:t>
      </w:r>
      <w:r>
        <w:rPr>
          <w:rFonts w:hint="default" w:ascii="Times New Roman" w:hAnsi="Times New Roman" w:eastAsia="仿宋_GB2312" w:cs="Times New Roman"/>
          <w:sz w:val="32"/>
          <w:szCs w:val="32"/>
        </w:rPr>
        <w:t>，力争取得东锣岛及其周边万亩海域</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使用权，系统开展岛礁与近岸海域科教功能布局及可行性论证，重点加快海洋牧场等特色应用场景的培育与开放共享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布局3-5个概念验证、装备测试等服务平台，支撑技术熟化与产业化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建设崖州湾实习实训基地，打造滨海科教融合创新高地。</w:t>
      </w:r>
      <w:r>
        <w:rPr>
          <w:rFonts w:hint="default" w:ascii="Times New Roman" w:hAnsi="Times New Roman" w:eastAsia="仿宋_GB2312" w:cs="Times New Roman"/>
          <w:sz w:val="32"/>
          <w:szCs w:val="32"/>
        </w:rPr>
        <w:t>建成覆盖“空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天</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岸”的立体化科研条件体系，实现深远海探测、近岸综合调查及</w:t>
      </w:r>
      <w:r>
        <w:rPr>
          <w:rFonts w:hint="default" w:ascii="Times New Roman" w:hAnsi="Times New Roman" w:eastAsia="仿宋_GB2312" w:cs="Times New Roman"/>
          <w:sz w:val="32"/>
          <w:szCs w:val="32"/>
          <w:lang w:val="en-US" w:eastAsia="zh-CN"/>
        </w:rPr>
        <w:t>海洋</w:t>
      </w:r>
      <w:r>
        <w:rPr>
          <w:rFonts w:hint="default" w:ascii="Times New Roman" w:hAnsi="Times New Roman" w:eastAsia="仿宋_GB2312" w:cs="Times New Roman"/>
          <w:sz w:val="32"/>
          <w:szCs w:val="32"/>
        </w:rPr>
        <w:t>产业服务能力的整体跃升</w:t>
      </w:r>
      <w:r>
        <w:rPr>
          <w:rFonts w:hint="default" w:ascii="Times New Roman" w:hAnsi="Times New Roman" w:eastAsia="仿宋_GB2312" w:cs="Times New Roman"/>
          <w:sz w:val="32"/>
          <w:szCs w:val="32"/>
          <w:lang w:eastAsia="zh-CN"/>
        </w:rPr>
        <w:t>。</w:t>
      </w:r>
    </w:p>
    <w:p w14:paraId="204D3CA0">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2.重点平台提质计划。</w:t>
      </w:r>
      <w:r>
        <w:rPr>
          <w:rFonts w:hint="default" w:ascii="Times New Roman" w:hAnsi="Times New Roman" w:eastAsia="仿宋_GB2312" w:cs="Times New Roman"/>
          <w:sz w:val="32"/>
          <w:szCs w:val="32"/>
        </w:rPr>
        <w:t>对标国家与区域重大战略需求，分类推进科研平台建设，构建定位精准、特色鲜明的高质量创新平台体系。集中力量加强“热带海洋生物资源利用与保护教育部重点实验室”</w:t>
      </w:r>
      <w:r>
        <w:rPr>
          <w:rFonts w:hint="eastAsia" w:ascii="Times New Roman" w:hAnsi="Times New Roman" w:eastAsia="仿宋_GB2312" w:cs="Times New Roman"/>
          <w:sz w:val="32"/>
          <w:szCs w:val="32"/>
        </w:rPr>
        <w:t>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color w:val="auto"/>
          <w:kern w:val="2"/>
          <w:sz w:val="32"/>
          <w:szCs w:val="32"/>
          <w:shd w:val="clear" w:color="auto" w:fill="auto"/>
        </w:rPr>
        <w:t>海岛旅游资源数据挖掘与监测预警技术文旅部重点实验室</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建设，围绕资源挖掘、可持续利用与生态保护，力争在高水平项目、成果和人才引进上实现突破。推动省部级平台精准对接海南自贸港海洋主导产业，</w:t>
      </w:r>
      <w:r>
        <w:rPr>
          <w:rFonts w:hint="eastAsia" w:ascii="Times New Roman" w:hAnsi="Times New Roman" w:eastAsia="仿宋_GB2312" w:cs="Times New Roman"/>
          <w:b w:val="0"/>
          <w:sz w:val="32"/>
          <w:szCs w:val="32"/>
          <w:lang w:val="en-US" w:eastAsia="zh-CN"/>
        </w:rPr>
        <w:t>聚焦</w:t>
      </w:r>
      <w:r>
        <w:rPr>
          <w:rFonts w:hint="eastAsia" w:ascii="Times New Roman" w:hAnsi="Times New Roman" w:eastAsia="仿宋_GB2312" w:cs="Times New Roman"/>
          <w:b w:val="0"/>
          <w:sz w:val="32"/>
          <w:szCs w:val="32"/>
        </w:rPr>
        <w:t>自贸港建设重大理论和现实问题</w:t>
      </w:r>
      <w:r>
        <w:rPr>
          <w:rFonts w:hint="eastAsia" w:ascii="Times New Roman" w:hAnsi="Times New Roman" w:eastAsia="仿宋_GB2312" w:cs="Times New Roman"/>
          <w:b w:val="0"/>
          <w:sz w:val="32"/>
          <w:szCs w:val="32"/>
          <w:lang w:eastAsia="zh-CN"/>
        </w:rPr>
        <w:t>，</w:t>
      </w:r>
      <w:r>
        <w:rPr>
          <w:rFonts w:hint="default" w:ascii="Times New Roman" w:hAnsi="Times New Roman" w:eastAsia="仿宋_GB2312" w:cs="Times New Roman"/>
          <w:sz w:val="32"/>
          <w:szCs w:val="32"/>
        </w:rPr>
        <w:t>优化内部结构与运行机制，建立健全以创新质量和实际贡献为导向的评价体系。强化平台系统布局与资源整合，打破学科壁垒，鼓励跨平台组建创新团队，深度对接崖州湾科技城，产出更多热带海洋特色标志性成果。推进琼海、曲口科研基地维修改造，提升基础设施保障能力。</w:t>
      </w:r>
    </w:p>
    <w:p w14:paraId="30881C97">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3.新兴平台培育计划。</w:t>
      </w:r>
      <w:r>
        <w:rPr>
          <w:rFonts w:hint="default" w:ascii="Times New Roman" w:hAnsi="Times New Roman" w:eastAsia="仿宋_GB2312" w:cs="Times New Roman"/>
          <w:sz w:val="32"/>
          <w:szCs w:val="32"/>
        </w:rPr>
        <w:t>面向海洋科技前沿与未来产业，深度整合校内资源，加快布局建设一批地方急需、特色鲜明、多学科融合的校级科研平台。鼓励与省内外头部企业共建校企联合实验室，推动科技创新与产业创新深度融合，重点在海洋监测、海洋地质、海洋油气、海洋运输、海洋人文</w:t>
      </w:r>
      <w:r>
        <w:rPr>
          <w:rFonts w:hint="eastAsia" w:ascii="Times New Roman" w:hAnsi="Times New Roman" w:eastAsia="仿宋_GB2312" w:cs="Times New Roman"/>
          <w:sz w:val="32"/>
          <w:szCs w:val="32"/>
        </w:rPr>
        <w:t>、海洋</w:t>
      </w:r>
      <w:r>
        <w:rPr>
          <w:rFonts w:ascii="Times New Roman" w:hAnsi="Times New Roman" w:eastAsia="仿宋_GB2312" w:cs="Times New Roman"/>
          <w:sz w:val="32"/>
          <w:szCs w:val="32"/>
        </w:rPr>
        <w:t>经济</w:t>
      </w:r>
      <w:r>
        <w:rPr>
          <w:rFonts w:hint="eastAsia" w:ascii="Times New Roman" w:hAnsi="Times New Roman" w:eastAsia="仿宋_GB2312" w:cs="Times New Roman"/>
          <w:sz w:val="32"/>
          <w:szCs w:val="32"/>
        </w:rPr>
        <w:t>、区域</w:t>
      </w:r>
      <w:r>
        <w:rPr>
          <w:rFonts w:ascii="Times New Roman" w:hAnsi="Times New Roman" w:eastAsia="仿宋_GB2312" w:cs="Times New Roman"/>
          <w:sz w:val="32"/>
          <w:szCs w:val="32"/>
        </w:rPr>
        <w:t>国别</w:t>
      </w:r>
      <w:r>
        <w:rPr>
          <w:rFonts w:hint="default" w:ascii="Times New Roman" w:hAnsi="Times New Roman" w:eastAsia="仿宋_GB2312" w:cs="Times New Roman"/>
          <w:sz w:val="32"/>
          <w:szCs w:val="32"/>
        </w:rPr>
        <w:t>等领域培育5-10个省部级科研平台，并在海洋生态、岛礁保护等方向布局建设野外科学观测站及数据中心。深度参与“海洋生物制造创新中心”“国家海洋能源与空间利用技术创新中心”等高能级平台建设。统筹资源配置，加大对优势特色</w:t>
      </w:r>
      <w:r>
        <w:rPr>
          <w:rFonts w:hint="default" w:ascii="Times New Roman" w:hAnsi="Times New Roman" w:eastAsia="仿宋_GB2312" w:cs="Times New Roman"/>
          <w:sz w:val="32"/>
          <w:szCs w:val="32"/>
          <w:lang w:val="en-US" w:eastAsia="zh-CN"/>
        </w:rPr>
        <w:t>方向</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投入</w:t>
      </w:r>
      <w:r>
        <w:rPr>
          <w:rFonts w:hint="default" w:ascii="Times New Roman" w:hAnsi="Times New Roman" w:eastAsia="仿宋_GB2312" w:cs="Times New Roman"/>
          <w:sz w:val="32"/>
          <w:szCs w:val="32"/>
          <w:lang w:eastAsia="zh-CN"/>
        </w:rPr>
        <w:t>力度</w:t>
      </w:r>
      <w:r>
        <w:rPr>
          <w:rFonts w:hint="default" w:ascii="Times New Roman" w:hAnsi="Times New Roman" w:eastAsia="仿宋_GB2312" w:cs="Times New Roman"/>
          <w:sz w:val="32"/>
          <w:szCs w:val="32"/>
        </w:rPr>
        <w:t>，</w:t>
      </w:r>
      <w:r>
        <w:rPr>
          <w:rFonts w:hint="eastAsia" w:ascii="Times New Roman" w:hAnsi="Times New Roman" w:eastAsia="仿宋_GB2312" w:cs="Times New Roman"/>
          <w:color w:val="auto"/>
          <w:kern w:val="2"/>
          <w:sz w:val="32"/>
          <w:szCs w:val="32"/>
          <w:shd w:val="clear" w:color="auto" w:fill="auto"/>
        </w:rPr>
        <w:t>构建定位清晰、特色突出、开放共享平台体系，</w:t>
      </w:r>
      <w:r>
        <w:rPr>
          <w:rFonts w:hint="default" w:ascii="Times New Roman" w:hAnsi="Times New Roman" w:eastAsia="仿宋_GB2312" w:cs="Times New Roman"/>
          <w:sz w:val="32"/>
          <w:szCs w:val="32"/>
        </w:rPr>
        <w:t>同步引进平台带头人与高层次科研人才，构建结构合理、素质优良的科研队伍，打造原始创新与成果转化的战略高地。</w:t>
      </w:r>
    </w:p>
    <w:p w14:paraId="7C1BF08E">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4.科技园优化重塑计划。</w:t>
      </w:r>
      <w:r>
        <w:rPr>
          <w:rFonts w:hint="default" w:ascii="Times New Roman" w:hAnsi="Times New Roman" w:eastAsia="仿宋_GB2312" w:cs="Times New Roman"/>
          <w:sz w:val="32"/>
          <w:szCs w:val="32"/>
          <w:lang w:val="en-US" w:eastAsia="zh-CN"/>
        </w:rPr>
        <w:t>聚焦主责主业，突出特色发展，有序推进优化重塑工作，加强专业化服务队伍建设；深化与三亚市的合作，共建科技园管理委员会，构建校地齐抓共管的工作机制。积极谋划省“十五五”重大项目，推动三亚海洋科技成果转化基金设立。科学布局“一园两区”，吉阳园区建设扎实推进、成效显著，科技城园区建设取得实效，园区空间管理更加规范有序。牵头成立“崖州湾国家大学科技园高校联盟”，服务崖州湾高校发展。聚焦海洋产业，与涉海单位共建海洋科技成果转化公共服务平台，为省外高校院所来三亚开展科技成果转化合作交流提供支持。完善“一站式”成果转化服务与创业孵化体系，培育专业化技术经理人队伍，显著提升成果转化效能。构建多元科技金融生态，促进创新链、产业链、资金链、人才链深度融合，将科技园打造成为引领热带海洋技术转移转化与区域海洋经济高质量发展的重要引擎。</w:t>
      </w:r>
    </w:p>
    <w:p w14:paraId="7E832FA4">
      <w:pPr>
        <w:widowControl/>
        <w:shd w:val="clear" w:color="auto" w:fill="FFFFFF"/>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5.全链条平台协同计划。</w:t>
      </w:r>
      <w:r>
        <w:rPr>
          <w:rFonts w:hint="default" w:ascii="Times New Roman" w:hAnsi="Times New Roman" w:eastAsia="仿宋_GB2312" w:cs="Times New Roman"/>
          <w:sz w:val="32"/>
          <w:szCs w:val="32"/>
        </w:rPr>
        <w:t>高质量推进崖州湾创新研究院</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海南省海洋与渔业科学院建设</w:t>
      </w:r>
      <w:r>
        <w:rPr>
          <w:rFonts w:hint="default" w:ascii="Times New Roman" w:hAnsi="Times New Roman" w:eastAsia="仿宋_GB2312" w:cs="Times New Roman"/>
          <w:sz w:val="32"/>
          <w:szCs w:val="32"/>
          <w:lang w:eastAsia="zh-CN"/>
        </w:rPr>
        <w:t>。崖州湾创新研究院聚焦水产南繁育种、热带海洋生态与蓝碳、</w:t>
      </w:r>
      <w:r>
        <w:rPr>
          <w:rFonts w:hint="default" w:ascii="Times New Roman" w:hAnsi="Times New Roman" w:eastAsia="仿宋_GB2312" w:cs="Times New Roman"/>
          <w:sz w:val="32"/>
          <w:szCs w:val="32"/>
          <w:lang w:val="en-US" w:eastAsia="zh-CN"/>
        </w:rPr>
        <w:t>海洋装备</w:t>
      </w:r>
      <w:r>
        <w:rPr>
          <w:rFonts w:hint="default" w:ascii="Times New Roman" w:hAnsi="Times New Roman" w:eastAsia="仿宋_GB2312" w:cs="Times New Roman"/>
          <w:sz w:val="32"/>
          <w:szCs w:val="32"/>
          <w:lang w:eastAsia="zh-CN"/>
        </w:rPr>
        <w:t>等领域，联合头部企业共建实验室；</w:t>
      </w:r>
      <w:r>
        <w:rPr>
          <w:rFonts w:hint="default" w:ascii="Times New Roman" w:hAnsi="Times New Roman" w:eastAsia="仿宋_GB2312" w:cs="Times New Roman"/>
          <w:sz w:val="32"/>
          <w:szCs w:val="32"/>
        </w:rPr>
        <w:t>海南省海洋与渔业科学院</w:t>
      </w:r>
      <w:r>
        <w:rPr>
          <w:rFonts w:hint="default" w:ascii="Times New Roman" w:hAnsi="Times New Roman" w:eastAsia="仿宋_GB2312" w:cs="Times New Roman"/>
          <w:sz w:val="32"/>
          <w:szCs w:val="32"/>
          <w:lang w:val="en-US" w:eastAsia="zh-CN"/>
        </w:rPr>
        <w:t>聚焦渔业养殖、海洋工程、海洋资源开发等领域，着力推动科研成果转化与推广。</w:t>
      </w:r>
      <w:r>
        <w:rPr>
          <w:rFonts w:hint="default" w:ascii="Times New Roman" w:hAnsi="Times New Roman" w:eastAsia="仿宋_GB2312" w:cs="Times New Roman"/>
          <w:sz w:val="32"/>
          <w:szCs w:val="32"/>
        </w:rPr>
        <w:t>围绕优势学科与重点产业方向，构建“理论创新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技术突破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成果转化”全链条贯通的创新平台体系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学校侧重前端成果挖掘与知识产权培育，崖州湾创新研究院侧重场景验证与</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rPr>
        <w:t>熟化，海南省海洋与渔业科学院侧重应用研发与成果推广，大学科技园专注中后端企业孵化与资本对接</w:t>
      </w:r>
      <w:r>
        <w:rPr>
          <w:rFonts w:hint="default" w:ascii="Times New Roman" w:hAnsi="Times New Roman" w:eastAsia="仿宋_GB2312" w:cs="Times New Roman"/>
          <w:sz w:val="32"/>
          <w:szCs w:val="32"/>
          <w:lang w:eastAsia="zh-CN"/>
        </w:rPr>
        <w:t>。通过建立技术经理人全程跟进的转化服务机制，引导产业企业从研发前端介入，形成“企业出题、联合攻关、成果转化”的闭环生态，实现创新链与产业链的精准对接。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38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shd w:val="clear" w:color="auto" w:fill="B5C7EA" w:themeFill="accent1" w:themeFillTint="66"/>
            <w:tcMar>
              <w:top w:w="113" w:type="dxa"/>
              <w:left w:w="108" w:type="dxa"/>
              <w:bottom w:w="0" w:type="dxa"/>
              <w:right w:w="108" w:type="dxa"/>
            </w:tcMar>
            <w:vAlign w:val="top"/>
          </w:tcPr>
          <w:p w14:paraId="48CAE50C">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bCs/>
                <w:kern w:val="0"/>
                <w:sz w:val="28"/>
                <w:szCs w:val="28"/>
                <w:highlight w:val="none"/>
                <w:shd w:val="clear" w:color="auto" w:fill="FFFFFF"/>
                <w:lang w:eastAsia="zh-CN" w:bidi="ar"/>
              </w:rPr>
              <w:t>专题1</w:t>
            </w:r>
            <w:r>
              <w:rPr>
                <w:rFonts w:hint="default" w:ascii="Times New Roman" w:hAnsi="Times New Roman" w:eastAsia="方正仿宋_GB2312" w:cs="Times New Roman"/>
                <w:b/>
                <w:bCs/>
                <w:kern w:val="0"/>
                <w:sz w:val="28"/>
                <w:szCs w:val="28"/>
                <w:highlight w:val="none"/>
                <w:shd w:val="clear" w:color="auto" w:fill="FFFFFF"/>
                <w:lang w:val="en-US" w:eastAsia="zh-CN" w:bidi="ar"/>
              </w:rPr>
              <w:t xml:space="preserve"> </w:t>
            </w:r>
            <w:r>
              <w:rPr>
                <w:rFonts w:hint="default" w:ascii="Times New Roman" w:hAnsi="Times New Roman" w:eastAsia="方正仿宋_GB2312" w:cs="Times New Roman"/>
                <w:b/>
                <w:bCs/>
                <w:kern w:val="0"/>
                <w:sz w:val="28"/>
                <w:szCs w:val="28"/>
                <w:highlight w:val="none"/>
                <w:shd w:val="clear" w:color="auto" w:fill="FFFFFF"/>
                <w:lang w:eastAsia="zh-CN" w:bidi="ar"/>
              </w:rPr>
              <w:t>科研平台跃升与全链条创新体系建设</w:t>
            </w:r>
          </w:p>
        </w:tc>
      </w:tr>
      <w:tr w14:paraId="0BA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67482F76">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01强化硬条件</w:t>
            </w:r>
          </w:p>
          <w:p w14:paraId="1127D235">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科学谋划海洋科考船、深海养殖工船等重大装备建设，加速推进南海近岸海洋综合调查中心及东锣岛周边海域使用权获取，夯实深远海探测与产业服务基础。</w:t>
            </w:r>
          </w:p>
        </w:tc>
      </w:tr>
      <w:tr w14:paraId="6DC00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5BBB20E8">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02</w:t>
            </w:r>
            <w:r>
              <w:rPr>
                <w:rFonts w:hint="default" w:ascii="Times New Roman" w:hAnsi="Times New Roman" w:eastAsia="方正仿宋_GB2312" w:cs="Times New Roman"/>
                <w:b w:val="0"/>
                <w:bCs w:val="0"/>
                <w:kern w:val="0"/>
                <w:sz w:val="28"/>
                <w:szCs w:val="28"/>
                <w:highlight w:val="none"/>
                <w:shd w:val="clear" w:color="auto" w:fill="FFFFFF"/>
                <w:lang w:eastAsia="zh-CN" w:bidi="ar"/>
              </w:rPr>
              <w:t>建强核心平台</w:t>
            </w:r>
          </w:p>
          <w:p w14:paraId="30E96674">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集中力量加强教育部重点实验室</w:t>
            </w:r>
            <w:r>
              <w:rPr>
                <w:rFonts w:ascii="Times New Roman" w:hAnsi="Times New Roman" w:eastAsia="方正仿宋_GB2312" w:cs="Times New Roman"/>
                <w:kern w:val="0"/>
                <w:sz w:val="28"/>
                <w:szCs w:val="28"/>
                <w:shd w:val="clear" w:color="auto" w:fill="FFFFFF"/>
                <w:lang w:bidi="ar"/>
              </w:rPr>
              <w:t>和</w:t>
            </w:r>
            <w:r>
              <w:rPr>
                <w:rFonts w:hint="eastAsia" w:ascii="Times New Roman" w:hAnsi="Times New Roman" w:eastAsia="方正仿宋_GB2312" w:cs="Times New Roman"/>
                <w:kern w:val="0"/>
                <w:sz w:val="28"/>
                <w:szCs w:val="28"/>
                <w:shd w:val="clear" w:color="auto" w:fill="FFFFFF"/>
                <w:lang w:bidi="ar"/>
              </w:rPr>
              <w:t>文旅部重点实验室</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建设，推动省部级平台精准对接海洋主导产业，优化评价体系，产出标志性成果。</w:t>
            </w:r>
          </w:p>
        </w:tc>
      </w:tr>
      <w:tr w14:paraId="2389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175DB5A7">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val="en-US"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03</w:t>
            </w:r>
            <w:r>
              <w:rPr>
                <w:rFonts w:hint="default" w:ascii="Times New Roman" w:hAnsi="Times New Roman" w:eastAsia="方正仿宋_GB2312" w:cs="Times New Roman"/>
                <w:b w:val="0"/>
                <w:bCs w:val="0"/>
                <w:kern w:val="0"/>
                <w:sz w:val="28"/>
                <w:szCs w:val="28"/>
                <w:highlight w:val="none"/>
                <w:shd w:val="clear" w:color="auto" w:fill="FFFFFF"/>
                <w:lang w:eastAsia="zh-CN" w:bidi="ar"/>
              </w:rPr>
              <w:t>培育新兴力量</w:t>
            </w: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 xml:space="preserve"> </w:t>
            </w:r>
          </w:p>
          <w:p w14:paraId="2BEC58FD">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整合校内资源并联合头部企业，在海洋监测、地质、油气、运输、生态</w:t>
            </w:r>
            <w:r>
              <w:rPr>
                <w:rFonts w:hint="eastAsia" w:ascii="Times New Roman" w:hAnsi="Times New Roman" w:eastAsia="方正仿宋_GB2312" w:cs="Times New Roman"/>
                <w:b w:val="0"/>
                <w:bCs w:val="0"/>
                <w:kern w:val="0"/>
                <w:sz w:val="28"/>
                <w:szCs w:val="28"/>
                <w:highlight w:val="none"/>
                <w:shd w:val="clear" w:color="auto" w:fill="FFFFFF"/>
                <w:vertAlign w:val="baseline"/>
                <w:lang w:eastAsia="zh-CN" w:bidi="ar"/>
              </w:rPr>
              <w:t>、</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经济、区域国别研究及人文等领域布局新建5-10个省部级平台及野外科学观测站，深度参与高能级创新中心建设。</w:t>
            </w:r>
          </w:p>
        </w:tc>
      </w:tr>
      <w:tr w14:paraId="73B4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76F0E5A1">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04</w:t>
            </w:r>
            <w:r>
              <w:rPr>
                <w:rFonts w:hint="default" w:ascii="Times New Roman" w:hAnsi="Times New Roman" w:eastAsia="方正仿宋_GB2312" w:cs="Times New Roman"/>
                <w:b w:val="0"/>
                <w:bCs w:val="0"/>
                <w:kern w:val="0"/>
                <w:sz w:val="28"/>
                <w:szCs w:val="28"/>
                <w:highlight w:val="none"/>
                <w:shd w:val="clear" w:color="auto" w:fill="FFFFFF"/>
                <w:lang w:eastAsia="zh-CN" w:bidi="ar"/>
              </w:rPr>
              <w:t>重塑转化引擎</w:t>
            </w:r>
          </w:p>
          <w:p w14:paraId="1D403781">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通过优化重塑大学科技园，设立成果转化基金，共建公共服务平台，打造引领热带海洋技术转移转化的重要引擎。</w:t>
            </w:r>
          </w:p>
        </w:tc>
      </w:tr>
      <w:tr w14:paraId="7E76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63647C54">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val="en-US" w:eastAsia="zh-CN" w:bidi="ar"/>
              </w:rPr>
              <w:t>05</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贯通创新链条</w:t>
            </w:r>
          </w:p>
          <w:p w14:paraId="594FD410">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高质量推进崖州湾创新研究院与海南省海洋与渔业科学院建设，明确其与学校本部、大学科技园之间的功能定位，建立“理论创新-技术突破-成果转化”全链条协同机制。</w:t>
            </w:r>
          </w:p>
        </w:tc>
      </w:tr>
    </w:tbl>
    <w:p w14:paraId="3A4EA3B3">
      <w:pPr>
        <w:spacing w:line="560" w:lineRule="exact"/>
        <w:ind w:firstLine="643" w:firstLineChars="200"/>
        <w:rPr>
          <w:rFonts w:hint="default" w:ascii="Times New Roman" w:hAnsi="Times New Roman" w:eastAsia="方正楷体_GB2312" w:cs="Times New Roman"/>
          <w:b/>
          <w:bCs/>
          <w:sz w:val="32"/>
          <w:szCs w:val="32"/>
          <w:highlight w:val="none"/>
        </w:rPr>
      </w:pPr>
      <w:r>
        <w:rPr>
          <w:rFonts w:hint="default" w:ascii="Times New Roman" w:hAnsi="Times New Roman" w:eastAsia="方正楷体_GB2312" w:cs="Times New Roman"/>
          <w:b/>
          <w:bCs/>
          <w:sz w:val="32"/>
          <w:szCs w:val="32"/>
          <w:highlight w:val="none"/>
        </w:rPr>
        <w:t>（二）科研能力提升工程</w:t>
      </w:r>
    </w:p>
    <w:p w14:paraId="733CE429">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6.高水平团队培育计划。</w:t>
      </w:r>
      <w:r>
        <w:rPr>
          <w:rFonts w:hint="default" w:ascii="Times New Roman" w:hAnsi="Times New Roman" w:eastAsia="仿宋_GB2312" w:cs="Times New Roman"/>
          <w:sz w:val="32"/>
          <w:szCs w:val="32"/>
        </w:rPr>
        <w:t>立足国家和区域重大战略需求，紧密围绕科研平台、学位点及重点学科建设需要，科学布局科研团队建设。重点聚焦热带水产种质资源与南繁、深海技术与装备应用、热带海洋环境与生态保护、海洋生物资源高值化利用、智能海上交通运输与海事法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智慧海洋与海洋文化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海洋</w:t>
      </w:r>
      <w:r>
        <w:rPr>
          <w:rFonts w:ascii="Times New Roman" w:hAnsi="Times New Roman" w:eastAsia="仿宋_GB2312" w:cs="Times New Roman"/>
          <w:sz w:val="32"/>
          <w:szCs w:val="32"/>
        </w:rPr>
        <w:t>旅游</w:t>
      </w:r>
      <w:r>
        <w:rPr>
          <w:rFonts w:hint="eastAsia" w:ascii="Times New Roman" w:hAnsi="Times New Roman" w:eastAsia="仿宋_GB2312" w:cs="Times New Roman"/>
          <w:sz w:val="32"/>
          <w:szCs w:val="32"/>
        </w:rPr>
        <w:t>与海洋</w:t>
      </w:r>
      <w:r>
        <w:rPr>
          <w:rFonts w:ascii="Times New Roman" w:hAnsi="Times New Roman" w:eastAsia="仿宋_GB2312" w:cs="Times New Roman"/>
          <w:sz w:val="32"/>
          <w:szCs w:val="32"/>
        </w:rPr>
        <w:t>经济</w:t>
      </w:r>
      <w:r>
        <w:rPr>
          <w:rFonts w:hint="eastAsia" w:ascii="Times New Roman" w:hAnsi="Times New Roman" w:eastAsia="仿宋_GB2312" w:cs="Times New Roman"/>
          <w:sz w:val="32"/>
          <w:szCs w:val="32"/>
        </w:rPr>
        <w:t>、海洋</w:t>
      </w:r>
      <w:r>
        <w:rPr>
          <w:rFonts w:ascii="Times New Roman" w:hAnsi="Times New Roman" w:eastAsia="仿宋_GB2312" w:cs="Times New Roman"/>
          <w:sz w:val="32"/>
          <w:szCs w:val="32"/>
        </w:rPr>
        <w:t>合作治理与</w:t>
      </w:r>
      <w:r>
        <w:rPr>
          <w:rFonts w:hint="eastAsia" w:ascii="Times New Roman" w:hAnsi="Times New Roman" w:eastAsia="仿宋_GB2312" w:cs="Times New Roman"/>
          <w:color w:val="auto"/>
          <w:kern w:val="2"/>
          <w:sz w:val="32"/>
          <w:szCs w:val="32"/>
          <w:shd w:val="clear" w:color="auto" w:fill="auto"/>
        </w:rPr>
        <w:t>区域国别（东南亚）研究</w:t>
      </w:r>
      <w:r>
        <w:rPr>
          <w:rFonts w:hint="default" w:ascii="Times New Roman" w:hAnsi="Times New Roman" w:eastAsia="仿宋_GB2312" w:cs="Times New Roman"/>
          <w:sz w:val="32"/>
          <w:szCs w:val="32"/>
        </w:rPr>
        <w:t>等领域，构建5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10个优势研究集群，形成</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0支兼具创新力与工程实践能力的“科学家+工程师”科研团队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sz w:val="32"/>
          <w:szCs w:val="32"/>
        </w:rPr>
        <w:t>培育</w:t>
      </w:r>
      <w:r>
        <w:rPr>
          <w:rFonts w:ascii="Times New Roman" w:hAnsi="Times New Roman" w:eastAsia="仿宋_GB2312" w:cs="Times New Roman"/>
          <w:b w:val="0"/>
          <w:sz w:val="32"/>
          <w:szCs w:val="32"/>
        </w:rPr>
        <w:t>3-6</w:t>
      </w:r>
      <w:r>
        <w:rPr>
          <w:rFonts w:hint="eastAsia" w:ascii="Times New Roman" w:hAnsi="Times New Roman" w:eastAsia="仿宋_GB2312" w:cs="Times New Roman"/>
          <w:b w:val="0"/>
          <w:sz w:val="32"/>
          <w:szCs w:val="32"/>
        </w:rPr>
        <w:t>支高水平社科创新团队，形成“带头人</w:t>
      </w:r>
      <w:r>
        <w:rPr>
          <w:rFonts w:ascii="Times New Roman" w:hAnsi="Times New Roman" w:eastAsia="仿宋_GB2312" w:cs="Times New Roman"/>
          <w:b w:val="0"/>
          <w:sz w:val="32"/>
          <w:szCs w:val="32"/>
        </w:rPr>
        <w:t>+</w:t>
      </w:r>
      <w:r>
        <w:rPr>
          <w:rFonts w:hint="eastAsia" w:ascii="Times New Roman" w:hAnsi="Times New Roman" w:eastAsia="仿宋_GB2312" w:cs="Times New Roman"/>
          <w:b w:val="0"/>
          <w:sz w:val="32"/>
          <w:szCs w:val="32"/>
        </w:rPr>
        <w:t>核心成员</w:t>
      </w:r>
      <w:r>
        <w:rPr>
          <w:rFonts w:ascii="Times New Roman" w:hAnsi="Times New Roman" w:eastAsia="仿宋_GB2312" w:cs="Times New Roman"/>
          <w:b w:val="0"/>
          <w:sz w:val="32"/>
          <w:szCs w:val="32"/>
        </w:rPr>
        <w:t>+</w:t>
      </w:r>
      <w:r>
        <w:rPr>
          <w:rFonts w:hint="eastAsia" w:ascii="Times New Roman" w:hAnsi="Times New Roman" w:eastAsia="仿宋_GB2312" w:cs="Times New Roman"/>
          <w:sz w:val="32"/>
          <w:szCs w:val="32"/>
        </w:rPr>
        <w:t>青年骨干”的梯队结构，提升承担国家级</w:t>
      </w:r>
      <w:r>
        <w:rPr>
          <w:rFonts w:hint="eastAsia" w:ascii="Times New Roman" w:hAnsi="Times New Roman" w:eastAsia="仿宋_GB2312" w:cs="Times New Roman"/>
          <w:b w:val="0"/>
          <w:sz w:val="32"/>
          <w:szCs w:val="32"/>
        </w:rPr>
        <w:t>重大项目、产出高水平理论成果和智库成果的能力</w:t>
      </w:r>
      <w:r>
        <w:rPr>
          <w:rFonts w:hint="default" w:ascii="Times New Roman" w:hAnsi="Times New Roman" w:eastAsia="仿宋_GB2312" w:cs="Times New Roman"/>
          <w:sz w:val="32"/>
          <w:szCs w:val="32"/>
        </w:rPr>
        <w:t>。探索实行团队负责人制，打造特色鲜明、目标明确的矩阵式科研团队体系，使其成为承担重大科研任务的基本单元，以及人才引进、科研经费、科研空间等资源配置的核心依据。</w:t>
      </w:r>
    </w:p>
    <w:p w14:paraId="5A2E3F1A">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7.重大项目攻关计划。</w:t>
      </w:r>
      <w:r>
        <w:rPr>
          <w:rFonts w:hint="default" w:ascii="Times New Roman" w:hAnsi="Times New Roman" w:eastAsia="仿宋_GB2312" w:cs="Times New Roman"/>
          <w:sz w:val="32"/>
          <w:szCs w:val="32"/>
        </w:rPr>
        <w:t>推进国家级项目“231”计划，以提升科技创新能力与核心竞争力为导向，通过优化科研资源配置、强化团队建设、完善激励机制，进一步加强热带海洋特色基础研究，持续夯实原始创新根基，力争在</w:t>
      </w:r>
      <w:r>
        <w:rPr>
          <w:rFonts w:hint="eastAsia" w:ascii="Times New Roman" w:hAnsi="Times New Roman" w:eastAsia="仿宋_GB2312" w:cs="Times New Roman"/>
          <w:sz w:val="32"/>
          <w:szCs w:val="32"/>
          <w:lang w:val="en-US" w:eastAsia="zh-CN"/>
        </w:rPr>
        <w:t>国家</w:t>
      </w:r>
      <w:r>
        <w:rPr>
          <w:rFonts w:hint="default" w:ascii="Times New Roman" w:hAnsi="Times New Roman" w:eastAsia="仿宋_GB2312" w:cs="Times New Roman"/>
          <w:sz w:val="32"/>
          <w:szCs w:val="32"/>
        </w:rPr>
        <w:t>自然科学基金、国家社</w:t>
      </w:r>
      <w:r>
        <w:rPr>
          <w:rFonts w:hint="eastAsia"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科</w:t>
      </w:r>
      <w:r>
        <w:rPr>
          <w:rFonts w:hint="eastAsia" w:ascii="Times New Roman" w:hAnsi="Times New Roman" w:eastAsia="仿宋_GB2312" w:cs="Times New Roman"/>
          <w:sz w:val="32"/>
          <w:szCs w:val="32"/>
          <w:lang w:val="en-US" w:eastAsia="zh-CN"/>
        </w:rPr>
        <w:t>学</w:t>
      </w:r>
      <w:r>
        <w:rPr>
          <w:rFonts w:hint="default" w:ascii="Times New Roman" w:hAnsi="Times New Roman" w:eastAsia="仿宋_GB2312" w:cs="Times New Roman"/>
          <w:sz w:val="32"/>
          <w:szCs w:val="32"/>
        </w:rPr>
        <w:t>基金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国家科技重大专项</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重点研发计划等</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上</w:t>
      </w:r>
      <w:r>
        <w:rPr>
          <w:rFonts w:hint="default" w:ascii="Times New Roman" w:hAnsi="Times New Roman" w:eastAsia="仿宋_GB2312" w:cs="Times New Roman"/>
          <w:sz w:val="32"/>
          <w:szCs w:val="32"/>
        </w:rPr>
        <w:t>实现突破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年均申报国家级项目不少于200项，累计获批立项不少于</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0项</w:t>
      </w:r>
      <w:r>
        <w:rPr>
          <w:rFonts w:hint="default" w:ascii="Times New Roman" w:hAnsi="Times New Roman" w:eastAsia="仿宋_GB2312" w:cs="Times New Roman"/>
          <w:sz w:val="32"/>
          <w:szCs w:val="32"/>
          <w:lang w:eastAsia="zh-CN"/>
        </w:rPr>
        <w:t>，成功获批重大项目</w:t>
      </w:r>
      <w:r>
        <w:rPr>
          <w:rFonts w:hint="default" w:ascii="Times New Roman" w:hAnsi="Times New Roman" w:eastAsia="仿宋_GB2312" w:cs="Times New Roman"/>
          <w:sz w:val="32"/>
          <w:szCs w:val="32"/>
        </w:rPr>
        <w:t>不少于</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项。</w:t>
      </w:r>
      <w:r>
        <w:rPr>
          <w:rFonts w:hint="default" w:ascii="Times New Roman" w:hAnsi="Times New Roman" w:eastAsia="仿宋_GB2312" w:cs="Times New Roman"/>
          <w:sz w:val="32"/>
          <w:szCs w:val="32"/>
        </w:rPr>
        <w:t>聚焦海洋综合调查、水产南繁、智慧海洋等重点方向，积极谋划承接新一轮近岸海洋综合调查任务，深度融入三亚崖州湾科技城建设，加强与中国海洋大学三亚研究院、海南省深海技术创新中心、三亚华大生命科学研究院、中国海洋石油集团</w:t>
      </w:r>
      <w:r>
        <w:rPr>
          <w:rFonts w:hint="default" w:ascii="Times New Roman" w:hAnsi="Times New Roman" w:eastAsia="仿宋_GB2312" w:cs="Times New Roman"/>
          <w:sz w:val="32"/>
          <w:szCs w:val="32"/>
          <w:lang w:eastAsia="zh-CN"/>
        </w:rPr>
        <w:t>、国家海洋信息中心</w:t>
      </w:r>
      <w:r>
        <w:rPr>
          <w:rFonts w:hint="default" w:ascii="Times New Roman" w:hAnsi="Times New Roman" w:eastAsia="仿宋_GB2312" w:cs="Times New Roman"/>
          <w:sz w:val="32"/>
          <w:szCs w:val="32"/>
        </w:rPr>
        <w:t>等单位的协同创新，联合承担一批前瞻性、战略性科研任务。建立健全重大项目全周期跟踪管理与服务机制，提前介入</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精准培育一批重点储备项目，强化过程管理与服务保障，做好结题验收与成果鉴定，促进高质量成果</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产出与转化。</w:t>
      </w:r>
    </w:p>
    <w:p w14:paraId="0EFA3207">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8.军工科研拓展计划。</w:t>
      </w:r>
      <w:r>
        <w:rPr>
          <w:rFonts w:hint="default" w:ascii="Times New Roman" w:hAnsi="Times New Roman" w:eastAsia="仿宋_GB2312" w:cs="Times New Roman"/>
          <w:sz w:val="32"/>
          <w:szCs w:val="32"/>
          <w:lang w:val="en-US" w:eastAsia="zh-CN"/>
        </w:rPr>
        <w:t>深入贯彻落实</w:t>
      </w:r>
      <w:r>
        <w:rPr>
          <w:rFonts w:ascii="Times New Roman" w:hAnsi="Times New Roman" w:eastAsia="仿宋_GB2312" w:cs="Times New Roman"/>
          <w:sz w:val="32"/>
          <w:szCs w:val="32"/>
        </w:rPr>
        <w:t>总体国家安全观和</w:t>
      </w:r>
      <w:r>
        <w:rPr>
          <w:rFonts w:hint="default" w:ascii="Times New Roman" w:hAnsi="Times New Roman" w:eastAsia="仿宋_GB2312" w:cs="Times New Roman"/>
          <w:sz w:val="32"/>
          <w:szCs w:val="32"/>
          <w:lang w:val="en-US" w:eastAsia="zh-CN"/>
        </w:rPr>
        <w:t>军民融合国家战略，立足南海地缘优势与学校海洋学科特色，积极拓展国防科技工业</w:t>
      </w:r>
      <w:r>
        <w:rPr>
          <w:rFonts w:ascii="Times New Roman" w:hAnsi="Times New Roman" w:eastAsia="仿宋_GB2312" w:cs="Times New Roman"/>
          <w:sz w:val="32"/>
          <w:szCs w:val="32"/>
        </w:rPr>
        <w:t>和国</w:t>
      </w:r>
      <w:r>
        <w:rPr>
          <w:rFonts w:hint="eastAsia" w:ascii="Times New Roman" w:hAnsi="Times New Roman" w:eastAsia="仿宋_GB2312" w:cs="Times New Roman"/>
          <w:sz w:val="32"/>
          <w:szCs w:val="32"/>
        </w:rPr>
        <w:t>家</w:t>
      </w:r>
      <w:r>
        <w:rPr>
          <w:rFonts w:ascii="Times New Roman" w:hAnsi="Times New Roman" w:eastAsia="仿宋_GB2312" w:cs="Times New Roman"/>
          <w:sz w:val="32"/>
          <w:szCs w:val="32"/>
        </w:rPr>
        <w:t>安全重点</w:t>
      </w:r>
      <w:r>
        <w:rPr>
          <w:rFonts w:hint="default" w:ascii="Times New Roman" w:hAnsi="Times New Roman" w:eastAsia="仿宋_GB2312" w:cs="Times New Roman"/>
          <w:sz w:val="32"/>
          <w:szCs w:val="32"/>
          <w:lang w:val="en-US" w:eastAsia="zh-CN"/>
        </w:rPr>
        <w:t>领域科研新空间。聚焦海洋感知与探测、海上救援与打捞、岛礁生态保护与利用</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南海利用</w:t>
      </w:r>
      <w:r>
        <w:rPr>
          <w:rFonts w:ascii="Times New Roman" w:hAnsi="Times New Roman" w:eastAsia="仿宋_GB2312" w:cs="Times New Roman"/>
          <w:sz w:val="32"/>
          <w:szCs w:val="32"/>
        </w:rPr>
        <w:t>与治理、</w:t>
      </w:r>
      <w:r>
        <w:rPr>
          <w:rFonts w:hint="eastAsia" w:ascii="Times New Roman" w:hAnsi="Times New Roman" w:eastAsia="仿宋_GB2312" w:cs="Times New Roman"/>
          <w:sz w:val="32"/>
          <w:szCs w:val="32"/>
        </w:rPr>
        <w:t>南海疆域历史认知、南海岛礁文化变迁、军民融合文化发展等特色研究</w:t>
      </w:r>
      <w:r>
        <w:rPr>
          <w:rFonts w:hint="default" w:ascii="Times New Roman" w:hAnsi="Times New Roman" w:eastAsia="仿宋_GB2312" w:cs="Times New Roman"/>
          <w:sz w:val="32"/>
          <w:szCs w:val="32"/>
          <w:lang w:val="en-US" w:eastAsia="zh-CN"/>
        </w:rPr>
        <w:t>等重点方向，主动对接国防科研单位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军工企业</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有关</w:t>
      </w:r>
      <w:r>
        <w:rPr>
          <w:rFonts w:hint="eastAsia" w:ascii="Times New Roman" w:hAnsi="Times New Roman" w:eastAsia="仿宋_GB2312" w:cs="Times New Roman"/>
          <w:sz w:val="32"/>
          <w:szCs w:val="32"/>
        </w:rPr>
        <w:t>单位</w:t>
      </w:r>
      <w:r>
        <w:rPr>
          <w:rFonts w:hint="default" w:ascii="Times New Roman" w:hAnsi="Times New Roman" w:eastAsia="仿宋_GB2312" w:cs="Times New Roman"/>
          <w:sz w:val="32"/>
          <w:szCs w:val="32"/>
          <w:lang w:val="en-US" w:eastAsia="zh-CN"/>
        </w:rPr>
        <w:t>需求，联合申报并承接一批国防科研项目，力争“十五五”期间</w:t>
      </w:r>
      <w:r>
        <w:rPr>
          <w:rFonts w:hint="eastAsia" w:ascii="Times New Roman" w:hAnsi="Times New Roman" w:eastAsia="仿宋_GB2312" w:cs="Times New Roman"/>
          <w:sz w:val="32"/>
          <w:szCs w:val="32"/>
          <w:lang w:val="en-US" w:eastAsia="zh-CN"/>
        </w:rPr>
        <w:t>承接</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 项国防科工领域项目，在涉海国防科技领域形成特色优势。加快推进军工科研资质体系建设，为承接涉密军工科研任务奠定基础。建立健全军工科研项目全过程管理机制，强化质量管控与保密安全，培育一支熟悉军工科研规范、具备承担能力的专业化团队。通过积极参与国防科技创新平台建设、融入地方军民融合示范基地等途径，拓展与军工集团、国防科研院所的深度合作，推动学校在服务国防现代化建设与南海资源安全保障中发挥更大作用。</w:t>
      </w:r>
    </w:p>
    <w:p w14:paraId="4DCE28FB">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9.标志性成果培育计划。</w:t>
      </w:r>
      <w:r>
        <w:rPr>
          <w:rFonts w:hint="default" w:ascii="Times New Roman" w:hAnsi="Times New Roman" w:eastAsia="仿宋_GB2312" w:cs="Times New Roman"/>
          <w:sz w:val="32"/>
          <w:szCs w:val="32"/>
        </w:rPr>
        <w:t>锚定国家和海南自由贸易港建设重大战略需求，系统实施标志性成果培育行动。力争到“十五五”末，累计获</w:t>
      </w:r>
      <w:r>
        <w:rPr>
          <w:rFonts w:hint="default" w:ascii="Times New Roman" w:hAnsi="Times New Roman" w:eastAsia="仿宋_GB2312" w:cs="Times New Roman"/>
          <w:sz w:val="32"/>
          <w:szCs w:val="32"/>
          <w:lang w:val="en-US" w:eastAsia="zh-CN"/>
        </w:rPr>
        <w:t>得</w:t>
      </w:r>
      <w:r>
        <w:rPr>
          <w:rFonts w:hint="default" w:ascii="Times New Roman" w:hAnsi="Times New Roman" w:eastAsia="仿宋_GB2312" w:cs="Times New Roman"/>
          <w:sz w:val="32"/>
          <w:szCs w:val="32"/>
        </w:rPr>
        <w:t>省部级奖励不少于</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项，实现省级最高科技奖零的突破，积极冲击国家级奖。构建“大团队</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大平台</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大项目</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大成果”四位一体培育链条，聚焦海洋科学、深海装备、海洋测绘、水产南繁、生态保护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海洋</w:t>
      </w:r>
      <w:r>
        <w:rPr>
          <w:rFonts w:hint="eastAsia" w:ascii="Times New Roman" w:hAnsi="Times New Roman" w:eastAsia="仿宋_GB2312" w:cs="Times New Roman"/>
          <w:sz w:val="32"/>
          <w:szCs w:val="32"/>
        </w:rPr>
        <w:t>文</w:t>
      </w:r>
      <w:r>
        <w:rPr>
          <w:rFonts w:ascii="Times New Roman" w:hAnsi="Times New Roman" w:eastAsia="仿宋_GB2312" w:cs="Times New Roman"/>
          <w:sz w:val="32"/>
          <w:szCs w:val="32"/>
        </w:rPr>
        <w:t>旅、海洋治理</w:t>
      </w:r>
      <w:r>
        <w:rPr>
          <w:rFonts w:hint="eastAsia" w:ascii="Times New Roman" w:hAnsi="Times New Roman" w:eastAsia="仿宋_GB2312" w:cs="Times New Roman"/>
          <w:sz w:val="32"/>
          <w:szCs w:val="32"/>
        </w:rPr>
        <w:t>、更路簿与</w:t>
      </w:r>
      <w:r>
        <w:rPr>
          <w:rFonts w:hint="eastAsia" w:ascii="Times New Roman" w:hAnsi="Times New Roman" w:eastAsia="仿宋_GB2312" w:cs="Times New Roman"/>
          <w:b w:val="0"/>
          <w:sz w:val="32"/>
          <w:szCs w:val="32"/>
        </w:rPr>
        <w:t>南海历史、</w:t>
      </w:r>
      <w:r>
        <w:rPr>
          <w:rFonts w:ascii="Times New Roman" w:hAnsi="Times New Roman" w:eastAsia="仿宋_GB2312" w:cs="Times New Roman"/>
          <w:sz w:val="32"/>
          <w:szCs w:val="32"/>
        </w:rPr>
        <w:t>海疆文化</w:t>
      </w:r>
      <w:r>
        <w:rPr>
          <w:rFonts w:hint="eastAsia" w:ascii="Times New Roman" w:hAnsi="Times New Roman" w:eastAsia="仿宋_GB2312" w:cs="Times New Roman"/>
          <w:b w:val="0"/>
          <w:sz w:val="32"/>
          <w:szCs w:val="32"/>
        </w:rPr>
        <w:t>和</w:t>
      </w:r>
      <w:r>
        <w:rPr>
          <w:rFonts w:ascii="Times New Roman" w:hAnsi="Times New Roman" w:eastAsia="仿宋_GB2312" w:cs="Times New Roman"/>
          <w:sz w:val="32"/>
          <w:szCs w:val="32"/>
        </w:rPr>
        <w:t>民族</w:t>
      </w:r>
      <w:r>
        <w:rPr>
          <w:rFonts w:hint="eastAsia" w:ascii="Times New Roman" w:hAnsi="Times New Roman" w:eastAsia="仿宋_GB2312" w:cs="Times New Roman"/>
          <w:sz w:val="32"/>
          <w:szCs w:val="32"/>
        </w:rPr>
        <w:t>共同体</w:t>
      </w:r>
      <w:r>
        <w:rPr>
          <w:rFonts w:hint="default" w:ascii="Times New Roman" w:hAnsi="Times New Roman" w:eastAsia="仿宋_GB2312" w:cs="Times New Roman"/>
          <w:sz w:val="32"/>
          <w:szCs w:val="32"/>
        </w:rPr>
        <w:t>等具有深厚积累的优势特色领域，组织凝练一批高潜力成果。强化以产业应用为导向的成果凝练，系统梳理一批具备产业化基础的重大科研成果，建立成果应用验证清单，组织校企联合攻关推动成果熟化，打通从样品到产品再到商品的转化路径，为申报高级别科技奖励夯实应用支撑。在此基础上，组织开展精准化的申报辅导与专题培训，邀请高水平专家对重点成果进行“一对一”打磨提升，采取“项目汇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专家诊断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靶向指导”模式，从成果凝练、逻辑梳理、佐证支撑到语言规范进行全方位优化。</w:t>
      </w:r>
    </w:p>
    <w:p w14:paraId="0798795D">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10.“AI+”交叉融合计划。</w:t>
      </w:r>
      <w:r>
        <w:rPr>
          <w:rFonts w:hint="default" w:ascii="Times New Roman" w:hAnsi="Times New Roman" w:eastAsia="仿宋_GB2312" w:cs="Times New Roman"/>
          <w:sz w:val="32"/>
          <w:szCs w:val="32"/>
        </w:rPr>
        <w:t>加强系统布局与统筹指导，以人工智能深度赋能科学研究为核心，推动AI技术作为关键工具融入科研全流程。组织开展AI</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rPr>
        <w:t>专题培训，紧跟技术前沿，全面提升科研人员运用AI</w:t>
      </w:r>
      <w:r>
        <w:rPr>
          <w:rFonts w:hint="default"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rPr>
        <w:t>解决复杂科学问题和产业实际问题的能力。聚焦海洋科学、水产南繁、生态环境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
          <w:woUserID w:val="5"/>
        </w:rPr>
        <w:t>海洋经济、</w:t>
      </w:r>
      <w:r>
        <w:rPr>
          <w:rFonts w:hint="default" w:ascii="Times New Roman" w:hAnsi="Times New Roman" w:eastAsia="仿宋_GB2312" w:cs="Times New Roman"/>
          <w:sz w:val="32"/>
          <w:szCs w:val="32"/>
          <w:lang w:val="en-US" w:eastAsia="zh-CN"/>
        </w:rPr>
        <w:t>海洋旅游</w:t>
      </w:r>
      <w:r>
        <w:rPr>
          <w:rFonts w:hint="default" w:ascii="Times New Roman" w:hAnsi="Times New Roman" w:eastAsia="仿宋_GB2312" w:cs="Times New Roman"/>
          <w:sz w:val="32"/>
          <w:szCs w:val="32"/>
        </w:rPr>
        <w:t>等特色领域，统筹协调算力资源与高质量科研数据集，加快构建数据驱动的智能研究新范式。依托海南省数据应用产业技术创新中心、海岛旅游资源数据挖掘与监测预警技术文化和旅游部重点实验室等省部级平台，重点突破海洋大数据智能挖掘、深远海养殖数字孪生模型构建、热带海岛生态监测智能分析等垂直应用场景。</w:t>
      </w:r>
      <w:r>
        <w:rPr>
          <w:rFonts w:hint="eastAsia" w:ascii="Times New Roman" w:hAnsi="Times New Roman" w:eastAsia="仿宋_GB2312" w:cs="Times New Roman"/>
          <w:sz w:val="32"/>
          <w:szCs w:val="32"/>
        </w:rPr>
        <w:t>推动人工智能与人文学科深度融合，布局“数字人文”新方向。</w:t>
      </w:r>
      <w:r>
        <w:rPr>
          <w:rFonts w:hint="default" w:ascii="Times New Roman" w:hAnsi="Times New Roman" w:eastAsia="仿宋_GB2312" w:cs="Times New Roman"/>
          <w:sz w:val="32"/>
          <w:szCs w:val="32"/>
        </w:rPr>
        <w:t>围绕海洋油气、深海装备、现代渔业、海洋文化旅游、海洋运输等重点产业，推动“</w:t>
      </w:r>
      <w:r>
        <w:rPr>
          <w:rFonts w:hint="default" w:ascii="Times New Roman" w:hAnsi="Times New Roman" w:eastAsia="仿宋_GB2312" w:cs="Times New Roman"/>
          <w:sz w:val="32"/>
          <w:szCs w:val="32"/>
          <w:lang w:val="en-US" w:eastAsia="zh-CN"/>
        </w:rPr>
        <w:t>AI</w:t>
      </w:r>
      <w:r>
        <w:rPr>
          <w:rFonts w:hint="default" w:ascii="Times New Roman" w:hAnsi="Times New Roman" w:eastAsia="仿宋_GB2312" w:cs="Times New Roman"/>
          <w:sz w:val="32"/>
          <w:szCs w:val="32"/>
        </w:rPr>
        <w:t>+”的融合应用与示范推广，产出一批具有行业影响力的智能化解决方案，为海洋产业高质量发展注入新动能。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8D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B5C7EA" w:themeFill="accent1" w:themeFillTint="66"/>
            <w:tcMar>
              <w:top w:w="113" w:type="dxa"/>
              <w:left w:w="108" w:type="dxa"/>
              <w:bottom w:w="0" w:type="dxa"/>
              <w:right w:w="108" w:type="dxa"/>
            </w:tcMar>
            <w:vAlign w:val="top"/>
          </w:tcPr>
          <w:p w14:paraId="0E181DE6">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bCs/>
                <w:kern w:val="0"/>
                <w:sz w:val="28"/>
                <w:szCs w:val="28"/>
                <w:highlight w:val="none"/>
                <w:shd w:val="clear" w:color="auto" w:fill="FFFFFF"/>
                <w:lang w:eastAsia="zh-CN" w:bidi="ar"/>
              </w:rPr>
              <w:t>专题</w:t>
            </w:r>
            <w:r>
              <w:rPr>
                <w:rFonts w:hint="default" w:ascii="Times New Roman" w:hAnsi="Times New Roman" w:eastAsia="方正仿宋_GB2312" w:cs="Times New Roman"/>
                <w:b/>
                <w:bCs/>
                <w:kern w:val="0"/>
                <w:sz w:val="28"/>
                <w:szCs w:val="28"/>
                <w:highlight w:val="none"/>
                <w:shd w:val="clear" w:color="auto" w:fill="FFFFFF"/>
                <w:lang w:val="en-US" w:eastAsia="zh-CN" w:bidi="ar"/>
              </w:rPr>
              <w:t>2 科研创新能力提升与交叉融合</w:t>
            </w:r>
          </w:p>
        </w:tc>
      </w:tr>
      <w:tr w14:paraId="2B10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23A7B956">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01建强团队基本单元</w:t>
            </w:r>
          </w:p>
          <w:p w14:paraId="77FDDB34">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围绕热带水产南繁、深海技术与装备、海洋生态保护、智慧海洋、海洋旅游与海洋经济、海洋合作治理与区域国别（东南亚）研究等重点领域，构建5-10个优势研究集群，打造</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15</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30</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支“科学家+工程师”矩阵式科研团队，</w:t>
            </w:r>
            <w:r>
              <w:rPr>
                <w:rFonts w:hint="default" w:ascii="Times New Roman" w:hAnsi="Times New Roman" w:eastAsia="方正仿宋_GB2312" w:cs="Times New Roman"/>
                <w:kern w:val="0"/>
                <w:sz w:val="28"/>
                <w:szCs w:val="28"/>
                <w:highlight w:val="none"/>
                <w:shd w:val="clear" w:color="auto" w:fill="FFFFFF"/>
                <w:lang w:bidi="ar"/>
              </w:rPr>
              <w:t>培育3-6支高水平的“带头人+核心成员+青年骨干”社</w:t>
            </w:r>
            <w:r>
              <w:rPr>
                <w:rFonts w:ascii="Times New Roman" w:hAnsi="Times New Roman" w:eastAsia="方正仿宋_GB2312" w:cs="Times New Roman"/>
                <w:kern w:val="0"/>
                <w:sz w:val="28"/>
                <w:szCs w:val="28"/>
                <w:highlight w:val="none"/>
                <w:shd w:val="clear" w:color="auto" w:fill="FFFFFF"/>
                <w:lang w:bidi="ar"/>
              </w:rPr>
              <w:t>科</w:t>
            </w:r>
            <w:r>
              <w:rPr>
                <w:rFonts w:hint="default" w:ascii="Times New Roman" w:hAnsi="Times New Roman" w:eastAsia="方正仿宋_GB2312" w:cs="Times New Roman"/>
                <w:kern w:val="0"/>
                <w:sz w:val="28"/>
                <w:szCs w:val="28"/>
                <w:highlight w:val="none"/>
                <w:shd w:val="clear" w:color="auto" w:fill="FFFFFF"/>
                <w:lang w:bidi="ar"/>
              </w:rPr>
              <w:t>创新团队，</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实行团队负责人制，使其成为资源配置的核心依据。</w:t>
            </w:r>
          </w:p>
        </w:tc>
      </w:tr>
      <w:tr w14:paraId="196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4219D20A">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02攻坚重大科研任务</w:t>
            </w:r>
          </w:p>
          <w:p w14:paraId="3B053745">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力争年均申报国家级项目超200项、累计获批立项不少于100项、获批重大项目</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2</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项以上；在新一轮近岸海洋调查、水产南繁、智慧海洋等领域承接一批前瞻性战略性任务。</w:t>
            </w:r>
          </w:p>
        </w:tc>
      </w:tr>
      <w:tr w14:paraId="3BD5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58A74C47">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val="en-US"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 xml:space="preserve">03拓展军工科研新空间 </w:t>
            </w:r>
          </w:p>
          <w:p w14:paraId="37C3A565">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立足南海地缘优势，聚焦海洋感知探测、海上救援打捞、岛礁生态</w:t>
            </w:r>
            <w:r>
              <w:rPr>
                <w:rFonts w:hint="eastAsia" w:ascii="Times New Roman" w:hAnsi="Times New Roman" w:eastAsia="方正仿宋_GB2312" w:cs="Times New Roman"/>
                <w:kern w:val="0"/>
                <w:sz w:val="28"/>
                <w:szCs w:val="28"/>
                <w:shd w:val="clear" w:color="auto" w:fill="FFFFFF"/>
                <w:lang w:bidi="ar"/>
              </w:rPr>
              <w:t>、南海</w:t>
            </w:r>
            <w:r>
              <w:rPr>
                <w:rFonts w:hint="eastAsia" w:ascii="宋体" w:hAnsi="宋体" w:eastAsia="宋体" w:cs="宋体"/>
                <w:kern w:val="0"/>
                <w:sz w:val="28"/>
                <w:szCs w:val="28"/>
                <w:shd w:val="clear" w:color="auto" w:fill="FFFFFF"/>
                <w:lang w:bidi="ar"/>
              </w:rPr>
              <w:t>利</w:t>
            </w:r>
            <w:r>
              <w:rPr>
                <w:rFonts w:hint="eastAsia" w:ascii="Times New Roman" w:hAnsi="Times New Roman" w:eastAsia="方正仿宋_GB2312" w:cs="Times New Roman"/>
                <w:kern w:val="0"/>
                <w:sz w:val="28"/>
                <w:szCs w:val="28"/>
                <w:shd w:val="clear" w:color="auto" w:fill="FFFFFF"/>
                <w:lang w:bidi="ar"/>
              </w:rPr>
              <w:t>用与治理</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保护等方向，力争承接1-3 项国防科工领域项目；加快军工科研资质体系建设，建立健全全过程管理与保密机制，培育专业化团队，在涉海国防科技领域形成特色优势。</w:t>
            </w:r>
          </w:p>
        </w:tc>
      </w:tr>
      <w:tr w14:paraId="0131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52392FFF">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04系统培育标志性成果</w:t>
            </w:r>
          </w:p>
          <w:p w14:paraId="383328EB">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聚焦海洋科学、深海装备、水产南繁</w:t>
            </w:r>
            <w:r>
              <w:rPr>
                <w:rFonts w:hint="eastAsia" w:ascii="Times New Roman" w:hAnsi="Times New Roman" w:eastAsia="方正仿宋_GB2312" w:cs="Times New Roman"/>
                <w:b w:val="0"/>
                <w:bCs w:val="0"/>
                <w:kern w:val="0"/>
                <w:sz w:val="28"/>
                <w:szCs w:val="28"/>
                <w:highlight w:val="none"/>
                <w:shd w:val="clear" w:color="auto" w:fill="FFFFFF"/>
                <w:vertAlign w:val="baseline"/>
                <w:lang w:eastAsia="zh-CN" w:bidi="ar"/>
              </w:rPr>
              <w:t>、</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海洋文旅、海洋治理、更路簿与南海历史、海疆文化和民族共同体等优势领域，组织凝练高潜力成果；力争省部级奖励</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不少于25</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项，实现省级最高科技奖零的突破，积极冲击国家级科技奖。</w:t>
            </w:r>
          </w:p>
        </w:tc>
      </w:tr>
      <w:tr w14:paraId="5BDB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1D59AE02">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val="en-US" w:eastAsia="zh-CN" w:bidi="ar"/>
              </w:rPr>
              <w:t>05“AI+”深度交叉融合</w:t>
            </w:r>
          </w:p>
          <w:p w14:paraId="7EAFEC74">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统筹算力资源与高质量数据集，突破海洋大数据智能挖掘、深远海养殖数字孪生、海岛生态监测智能分析等垂直场景应用；围绕海洋油气、深海装备、现代渔业</w:t>
            </w:r>
            <w:r>
              <w:rPr>
                <w:rFonts w:hint="eastAsia" w:ascii="Times New Roman" w:hAnsi="Times New Roman" w:eastAsia="方正仿宋_GB2312" w:cs="Times New Roman"/>
                <w:kern w:val="0"/>
                <w:sz w:val="28"/>
                <w:szCs w:val="28"/>
                <w:shd w:val="clear" w:color="auto" w:fill="FFFFFF"/>
                <w:lang w:bidi="ar"/>
              </w:rPr>
              <w:t>、海洋</w:t>
            </w:r>
            <w:r>
              <w:rPr>
                <w:rFonts w:ascii="Times New Roman" w:hAnsi="Times New Roman" w:eastAsia="方正仿宋_GB2312" w:cs="Times New Roman"/>
                <w:kern w:val="0"/>
                <w:sz w:val="28"/>
                <w:szCs w:val="28"/>
                <w:shd w:val="clear" w:color="auto" w:fill="FFFFFF"/>
                <w:lang w:bidi="ar"/>
              </w:rPr>
              <w:t>文旅</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等重点产业，推出一批具有行业影响力的智能化解决方案，为海洋产业高质量发展注入新动能。</w:t>
            </w:r>
          </w:p>
        </w:tc>
      </w:tr>
    </w:tbl>
    <w:p w14:paraId="4670376F">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（三）社会服务赋能工程</w:t>
      </w:r>
    </w:p>
    <w:p w14:paraId="327DC021">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11.产业核心技术攻关计划。</w:t>
      </w:r>
      <w:r>
        <w:rPr>
          <w:rFonts w:hint="default" w:ascii="Times New Roman" w:hAnsi="Times New Roman" w:eastAsia="仿宋_GB2312" w:cs="Times New Roman"/>
          <w:sz w:val="32"/>
          <w:szCs w:val="32"/>
          <w:lang w:val="en-US" w:eastAsia="zh-CN"/>
        </w:rPr>
        <w:t>围绕热带海洋特色产业发展需求，针对制约产业升级的海洋生物资源高价值利用、海洋装备关键核心小件、特色热带海洋生物繁育等技术瓶颈，组建跨学科攻关团队，联合行业龙头企业开展协同创新。重点突破海洋生物活性肽高效提取、生物材料绿色制备等关键技术，开发一批高附加值的海洋功能食品、生物医药及环保材料产品，推动海洋生物产业向价值链高端迈进。依托聚焦海洋生物资源、海洋碳汇、海洋食品等领域的省级科研平台，在海洋生态保护修复、蓝碳方法学与碳汇交易、海洋生物资源高值化利用等方面提供专业技术支撑，致力于成为支撑海南相关产业发展的关键新质生产力引擎。强化近岸海洋综合调查、海洋灾害预警预报、港航智能调度等技术支撑能力，打造成为地方政府不可或缺的重要技术力量。针对海南自贸港航运枢纽建设，开展港口智慧调度、船舶能效管理、绿色燃料应用、船员智能培训系统等关键技术研发，为航运业降本增效和绿色发展提供技术支持。</w:t>
      </w:r>
      <w:r>
        <w:rPr>
          <w:rFonts w:hint="eastAsia" w:ascii="Times New Roman" w:hAnsi="Times New Roman" w:eastAsia="仿宋_GB2312" w:cs="Times New Roman"/>
          <w:b w:val="0"/>
          <w:bCs w:val="0"/>
          <w:color w:val="auto"/>
          <w:sz w:val="32"/>
          <w:szCs w:val="32"/>
          <w:shd w:val="clear" w:color="auto" w:fill="auto"/>
        </w:rPr>
        <w:t>围绕海南国际旅游消费中心建设需求，重点开展海洋旅游大数据挖掘与智能分析、旅游客流精准预测与应急调度、旅游舆情监测预警等关键技术，构建覆盖</w:t>
      </w:r>
      <w:r>
        <w:rPr>
          <w:rFonts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rPr>
        <w:t>数据采集</w:t>
      </w:r>
      <w:r>
        <w:rPr>
          <w:rFonts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rPr>
        <w:t>智能分析</w:t>
      </w:r>
      <w:r>
        <w:rPr>
          <w:rFonts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rPr>
        <w:t>预警决策</w:t>
      </w:r>
      <w:r>
        <w:rPr>
          <w:rFonts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rPr>
        <w:t>精准服务</w:t>
      </w:r>
      <w:r>
        <w:rPr>
          <w:rFonts w:ascii="Times New Roman" w:hAnsi="Times New Roman" w:eastAsia="仿宋_GB2312" w:cs="Times New Roman"/>
          <w:b w:val="0"/>
          <w:bCs w:val="0"/>
          <w:color w:val="auto"/>
          <w:sz w:val="32"/>
          <w:szCs w:val="32"/>
          <w:shd w:val="clear" w:color="auto" w:fill="auto"/>
        </w:rPr>
        <w:t>”</w:t>
      </w:r>
      <w:r>
        <w:rPr>
          <w:rFonts w:hint="eastAsia" w:ascii="Times New Roman" w:hAnsi="Times New Roman" w:eastAsia="仿宋_GB2312" w:cs="Times New Roman"/>
          <w:b w:val="0"/>
          <w:bCs w:val="0"/>
          <w:color w:val="auto"/>
          <w:sz w:val="32"/>
          <w:szCs w:val="32"/>
          <w:shd w:val="clear" w:color="auto" w:fill="auto"/>
        </w:rPr>
        <w:t>全链条的海洋旅游智慧化技术体系。推动海洋旅游产业数字化转型与高质量发展，持续开展</w:t>
      </w:r>
      <w:r>
        <w:rPr>
          <w:rFonts w:hint="eastAsia" w:ascii="Times New Roman" w:hAnsi="Times New Roman" w:eastAsia="仿宋_GB2312" w:cs="Times New Roman"/>
          <w:sz w:val="32"/>
          <w:szCs w:val="32"/>
        </w:rPr>
        <w:t>南海历史文化IP开发、民族非遗产品化转化、海洋文化旅游资源规划、</w:t>
      </w:r>
      <w:r>
        <w:rPr>
          <w:rFonts w:hint="eastAsia" w:ascii="Times New Roman" w:hAnsi="Times New Roman" w:eastAsia="仿宋_GB2312" w:cs="Times New Roman"/>
          <w:b w:val="0"/>
          <w:bCs w:val="0"/>
          <w:color w:val="auto"/>
          <w:sz w:val="32"/>
          <w:szCs w:val="32"/>
          <w:shd w:val="clear" w:color="auto" w:fill="auto"/>
        </w:rPr>
        <w:t>游艇旅游消费行为分析、游艇产业链价值评估、游艇产业政策优化等专题</w:t>
      </w:r>
      <w:r>
        <w:rPr>
          <w:rFonts w:hint="eastAsia" w:ascii="Times New Roman" w:hAnsi="Times New Roman" w:eastAsia="仿宋_GB2312" w:cs="Times New Roman"/>
          <w:sz w:val="32"/>
          <w:szCs w:val="32"/>
        </w:rPr>
        <w:t>应用</w:t>
      </w:r>
      <w:r>
        <w:rPr>
          <w:rFonts w:hint="eastAsia" w:ascii="Times New Roman" w:hAnsi="Times New Roman" w:eastAsia="仿宋_GB2312" w:cs="Times New Roman"/>
          <w:b w:val="0"/>
          <w:bCs w:val="0"/>
          <w:color w:val="auto"/>
          <w:sz w:val="32"/>
          <w:szCs w:val="32"/>
          <w:shd w:val="clear" w:color="auto" w:fill="auto"/>
        </w:rPr>
        <w:t>研究，为海南打造</w:t>
      </w:r>
      <w:r>
        <w:rPr>
          <w:rFonts w:hint="eastAsia" w:ascii="Times New Roman" w:hAnsi="Times New Roman" w:eastAsia="仿宋_GB2312" w:cs="Times New Roman"/>
          <w:sz w:val="32"/>
          <w:szCs w:val="32"/>
        </w:rPr>
        <w:t>高</w:t>
      </w:r>
      <w:r>
        <w:rPr>
          <w:rFonts w:ascii="Times New Roman" w:hAnsi="Times New Roman" w:eastAsia="仿宋_GB2312" w:cs="Times New Roman"/>
          <w:sz w:val="32"/>
          <w:szCs w:val="32"/>
        </w:rPr>
        <w:t>水平的</w:t>
      </w:r>
      <w:r>
        <w:rPr>
          <w:rFonts w:hint="eastAsia" w:ascii="Times New Roman" w:hAnsi="Times New Roman" w:eastAsia="仿宋_GB2312" w:cs="Times New Roman"/>
          <w:b w:val="0"/>
          <w:bCs w:val="0"/>
          <w:color w:val="auto"/>
          <w:sz w:val="32"/>
          <w:szCs w:val="32"/>
          <w:shd w:val="clear" w:color="auto" w:fill="auto"/>
        </w:rPr>
        <w:t>海洋旅游目的地提供关键技术支撑和决策咨询服务，成为支撑海南海洋旅游产业发展的核心智囊力量</w:t>
      </w:r>
      <w:r>
        <w:rPr>
          <w:rFonts w:hint="eastAsia" w:ascii="Times New Roman" w:hAnsi="Times New Roman" w:eastAsia="仿宋_GB2312" w:cs="Times New Roman"/>
          <w:sz w:val="32"/>
          <w:szCs w:val="32"/>
        </w:rPr>
        <w:t>，服务海南国际旅游消费中心建设</w:t>
      </w:r>
      <w:r>
        <w:rPr>
          <w:rFonts w:hint="eastAsia" w:ascii="Times New Roman" w:hAnsi="Times New Roman" w:eastAsia="仿宋_GB2312" w:cs="Times New Roman"/>
          <w:sz w:val="32"/>
          <w:szCs w:val="32"/>
          <w:lang w:eastAsia="zh-CN"/>
        </w:rPr>
        <w:t>。</w:t>
      </w:r>
    </w:p>
    <w:p w14:paraId="4CB381C3">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12.产学研用深度融合计划。</w:t>
      </w:r>
      <w:r>
        <w:rPr>
          <w:rFonts w:hint="default" w:ascii="Times New Roman" w:hAnsi="Times New Roman" w:eastAsia="仿宋_GB2312" w:cs="Times New Roman"/>
          <w:sz w:val="32"/>
          <w:szCs w:val="32"/>
          <w:lang w:val="en-US" w:eastAsia="zh-CN"/>
        </w:rPr>
        <w:t>紧密对接海南省海洋产业特色，聚焦海洋渔业、深海装备、海洋油气、海洋旅游等重点领域，全面加强与地方政府及龙头企业的战略合作。推动企业主导的产学研用深度融合，打通基础研究、应用开发、成果转化的通道。深化与海南农垦、海南旅投、海南电信、海南交投等本土领军企业的合作，共建高水平联合研发载体，推动一批千万级重大产学研合作项目落地实施。持续深化“科技特派员＋科技小院＋产业基地”协同赋能体系，深入推进科技特派员制度，引导科技人才深入水产养殖、海洋生物资源开发等基层一线，开展关键技术攻关、成果示范推广和技术培训，促进科技与产业深度融合；健全“政产学研用”一体化人才培养模式，推动科技小院建设从数量增长向质量提升转变，完善周期性质量监测机制；充分发挥水产育种与南繁养殖的技术积淀，开展高水平技术推广与专项技能培训，助力全省水产养殖产业提质增效。围绕海南热带海洋生态保护与可持续发展需求，深化产学研用协同创新模式，重点在海龟救助保护、珊瑚礁修复等特色领域构建“科研单位+企业+政府+社会组织”多方联动机制，为海南海洋生态文明建设提供有力支撑。深度参与海南热带雨林国家公园建设和热带海洋国家公园筹建，在生态监测、生物多样性保护、生态治理修复等方面持续输出高水平智力成果。深度融合航运服务业，与海南海事局、中远海运、海南港航控股等单位建立战略合作，联合开展高级船员培训、海事咨询、航运金融产品创新等服务。</w:t>
      </w:r>
      <w:r>
        <w:rPr>
          <w:rStyle w:val="9"/>
          <w:rFonts w:hint="eastAsia" w:ascii="Times New Roman" w:hAnsi="Times New Roman" w:eastAsia="仿宋_GB2312" w:cs="Times New Roman"/>
          <w:color w:val="0F1115"/>
          <w:sz w:val="32"/>
          <w:szCs w:val="32"/>
          <w:shd w:val="clear" w:color="auto" w:fill="FFFFFF"/>
        </w:rPr>
        <w:t>服务海南国际旅游消费中心建设，深化与省市政府、行业企业协会等战略合作，推动一批产学研合作项目落地，共建邮轮游艇产业研究院等产学研合作平台，围绕海洋旅游产品开发、旅游服务质量提升、旅游品牌建设等领域共同开展行业标准制定、旅游产品开发、品牌设计营销策划等联合攻关和</w:t>
      </w:r>
      <w:r>
        <w:rPr>
          <w:rFonts w:hint="eastAsia" w:ascii="Times New Roman" w:hAnsi="Times New Roman" w:eastAsia="仿宋_GB2312" w:cs="Times New Roman"/>
          <w:b w:val="0"/>
          <w:sz w:val="32"/>
          <w:szCs w:val="32"/>
        </w:rPr>
        <w:t>合作</w:t>
      </w:r>
      <w:r>
        <w:rPr>
          <w:rStyle w:val="9"/>
          <w:rFonts w:hint="eastAsia" w:ascii="Times New Roman" w:hAnsi="Times New Roman" w:eastAsia="仿宋_GB2312" w:cs="Times New Roman"/>
          <w:color w:val="0F1115"/>
          <w:sz w:val="32"/>
          <w:szCs w:val="32"/>
          <w:shd w:val="clear" w:color="auto" w:fill="FFFFFF"/>
        </w:rPr>
        <w:t>，</w:t>
      </w:r>
      <w:r>
        <w:rPr>
          <w:rFonts w:hint="eastAsia" w:ascii="Times New Roman" w:hAnsi="Times New Roman" w:eastAsia="仿宋_GB2312" w:cs="Times New Roman"/>
          <w:b w:val="0"/>
          <w:sz w:val="32"/>
          <w:szCs w:val="32"/>
        </w:rPr>
        <w:t>将学校在海洋旅游、海洋文化、区域经济等方面的研究优势转化为服务产业发展的现实生产力。</w:t>
      </w:r>
      <w:r>
        <w:rPr>
          <w:rFonts w:hint="default" w:ascii="Times New Roman" w:hAnsi="Times New Roman" w:eastAsia="仿宋_GB2312" w:cs="Times New Roman"/>
          <w:sz w:val="32"/>
          <w:szCs w:val="32"/>
          <w:lang w:val="en-US" w:eastAsia="zh-CN"/>
        </w:rPr>
        <w:t>将前沿科研成果与产业实战案例融入教学，通过高质量科普反哺社会，以科教融汇、产教融合赋能人才培养。</w:t>
      </w:r>
    </w:p>
    <w:p w14:paraId="407040EA">
      <w:pPr>
        <w:widowControl/>
        <w:shd w:val="clear" w:color="auto" w:fill="FFFFFF"/>
        <w:spacing w:line="560" w:lineRule="exact"/>
        <w:ind w:firstLine="643"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13.智库赋能地方发展计划。</w:t>
      </w:r>
      <w:r>
        <w:rPr>
          <w:rFonts w:hint="default" w:ascii="Times New Roman" w:hAnsi="Times New Roman" w:eastAsia="仿宋_GB2312" w:cs="Times New Roman"/>
          <w:sz w:val="32"/>
          <w:szCs w:val="32"/>
          <w:lang w:eastAsia="zh-CN"/>
        </w:rPr>
        <w:t>整合社科人才优势资源，调动和凝聚人文社科教师的积极性和创造性，促进人文社科国家级项目申报、重大平台建设、重大成果凝练等领域获得快速提升。加大对马克思主义理论研究的支持力度，推出一批彰显文化自信、社会主义核心价值观、社会主义精神文明的重要社科成果。充分发挥海洋人文与旅游等方面的研究特色，重点打造海洋旅游与邮轮游艇经济、海洋历史文化与南海文明、数字贸易语言服务标准化应用研究、自贸港法治与海洋治理、中国-东盟区域国别研究等特色智库方向。深化与政府行业“智库+部门+企业”联合的常态化合作机制，围绕自贸港封关运作制度集成创新、国际旅游消费中心建设、铸牢中华民族共同体意识的海南实践、中国-东盟蓝色经济共同体构建等重大议题，开展前瞻性、储备性政策研究。建立“战略研究+政策分析+咨政建言”常态化咨政报告一体化工作机制，畅通成果报送渠道，定期举办智库论坛，力争获得更多省部级以上领导肯定性批示。支持一批具有深厚理论功底和强烈现实关怀的中青年学者，提升其政策解读、调查研究与决策咨询能力，鼓励教师将基础理论研究成果转化为政策建议，同时从决策咨询实践中提炼具有学理价值的重大命题，实现理论研究与对策研究的良性循环和相互促进打造一支专兼结合、富有活力的智库专家队伍。强化基础理论研究与决策咨询的互动。加强哲学社会科学重点实验室和重点智库的建设，推动人文社科研究方法创新，提升服务决策的科学性和精准性，为党和国家提供高质量咨询服务，全面推进人文社科研究高质量发展。</w:t>
      </w:r>
    </w:p>
    <w:p w14:paraId="43D444CE">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14.科研成果转化促进计划。</w:t>
      </w:r>
      <w:r>
        <w:rPr>
          <w:rFonts w:hint="default" w:ascii="Times New Roman" w:hAnsi="Times New Roman" w:eastAsia="仿宋_GB2312" w:cs="Times New Roman"/>
          <w:sz w:val="32"/>
          <w:szCs w:val="32"/>
        </w:rPr>
        <w:t>构建全链条科技成果转化体系，建立科研成果转化储备库，系统梳理具备产业化前景的高价值成果。</w:t>
      </w:r>
      <w:r>
        <w:rPr>
          <w:rFonts w:hint="default" w:ascii="Times New Roman" w:hAnsi="Times New Roman" w:eastAsia="仿宋_GB2312" w:cs="Times New Roman"/>
          <w:sz w:val="32"/>
          <w:szCs w:val="32"/>
          <w:lang w:val="en-US" w:eastAsia="zh-CN"/>
        </w:rPr>
        <w:t>按照</w:t>
      </w:r>
      <w:r>
        <w:rPr>
          <w:rFonts w:hint="default" w:ascii="Times New Roman" w:hAnsi="Times New Roman" w:eastAsia="仿宋_GB2312" w:cs="Times New Roman"/>
          <w:sz w:val="32"/>
          <w:szCs w:val="32"/>
        </w:rPr>
        <w:t>“科学技术化、技术产品化、产品产业化”路径，</w:t>
      </w:r>
      <w:r>
        <w:rPr>
          <w:rFonts w:hint="default" w:ascii="Times New Roman" w:hAnsi="Times New Roman" w:eastAsia="仿宋_GB2312" w:cs="Times New Roman"/>
          <w:sz w:val="32"/>
          <w:szCs w:val="32"/>
          <w:lang w:eastAsia="zh-CN"/>
        </w:rPr>
        <w:t>深化</w:t>
      </w:r>
      <w:r>
        <w:rPr>
          <w:rFonts w:hint="default" w:ascii="Times New Roman" w:hAnsi="Times New Roman" w:eastAsia="仿宋_GB2312" w:cs="Times New Roman"/>
          <w:sz w:val="32"/>
          <w:szCs w:val="32"/>
        </w:rPr>
        <w:t>校企合作，推动成果在深海装备、水产养殖、海洋生物制造等重点场景落地转化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推行有组织成果转化，深化职务科技成果赋权改革，探索“先使用后付费”“先研后股”等资产单列管理新模式，简化确权程序，完善评价与收益保障机制，充分激发科研人员转化活力。围绕重点产业布局3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5个概念验证与测试服务平台，依托国家大学科技园打造“技术转移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成果转化</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产业孵化”全链条服务体系。加强专业化技术转移队伍建设，培育一批懂技术、懂市场、懂管理的技术经纪人，鼓励科研人员兼职创新创业，加大政策激励力度。力争“十五五”期间技术合同成交额较“十四五”实现倍增，全面提升科技服务海洋产业发展的社会效能。</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1E9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B5C7EA" w:themeFill="accent1" w:themeFillTint="66"/>
            <w:tcMar>
              <w:top w:w="113" w:type="dxa"/>
              <w:left w:w="108" w:type="dxa"/>
              <w:bottom w:w="0" w:type="dxa"/>
              <w:right w:w="108" w:type="dxa"/>
            </w:tcMar>
            <w:vAlign w:val="top"/>
          </w:tcPr>
          <w:p w14:paraId="4C81CF01">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bCs/>
                <w:kern w:val="0"/>
                <w:sz w:val="28"/>
                <w:szCs w:val="28"/>
                <w:highlight w:val="none"/>
                <w:shd w:val="clear" w:color="auto" w:fill="FFFFFF"/>
                <w:lang w:eastAsia="zh-CN" w:bidi="ar"/>
              </w:rPr>
              <w:t>专题</w:t>
            </w:r>
            <w:r>
              <w:rPr>
                <w:rFonts w:hint="default" w:ascii="Times New Roman" w:hAnsi="Times New Roman" w:eastAsia="方正仿宋_GB2312" w:cs="Times New Roman"/>
                <w:b/>
                <w:bCs/>
                <w:kern w:val="0"/>
                <w:sz w:val="28"/>
                <w:szCs w:val="28"/>
                <w:highlight w:val="none"/>
                <w:shd w:val="clear" w:color="auto" w:fill="FFFFFF"/>
                <w:lang w:val="en-US" w:eastAsia="zh-CN" w:bidi="ar"/>
              </w:rPr>
              <w:t>3 社会服务赋能与产教融合发展</w:t>
            </w:r>
          </w:p>
        </w:tc>
      </w:tr>
      <w:tr w14:paraId="41D5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7AE6D1E4">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val="en-US"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01聚力产业核心技术攻关</w:t>
            </w:r>
          </w:p>
          <w:p w14:paraId="1AEC214C">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联合龙头企业开展协同创新，重点突破活性肽高效提取、生物材料绿色制备等关键技术，开发高附加值海洋功能食品与生物医药产品；为海洋生态修复、蓝碳交易提供技术支撑，强化近岸调查、灾害预警等技术服务能力。</w:t>
            </w:r>
          </w:p>
        </w:tc>
      </w:tr>
      <w:tr w14:paraId="493F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5468E62F">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02深化产学研用深度融合</w:t>
            </w:r>
          </w:p>
          <w:p w14:paraId="6141230C">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紧密对接海洋渔业、深海装备、海洋油气、海洋旅游等重点产业，与本土领军企业共建联合研发载体；开展水产养殖技术推广与专项培训，在海龟救助、珊瑚礁修复等特色领域形成示范；深度参与热带雨林国家公园建设与海洋国家公园筹建。</w:t>
            </w:r>
          </w:p>
        </w:tc>
      </w:tr>
      <w:tr w14:paraId="0C54E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457277BB">
            <w:pPr>
              <w:keepNext w:val="0"/>
              <w:keepLines w:val="0"/>
              <w:pageBreakBefore w:val="0"/>
              <w:widowControl w:val="0"/>
              <w:kinsoku/>
              <w:wordWrap/>
              <w:overflowPunct/>
              <w:topLinePunct w:val="0"/>
              <w:autoSpaceDE w:val="0"/>
              <w:autoSpaceDN/>
              <w:bidi w:val="0"/>
              <w:adjustRightInd w:val="0"/>
              <w:snapToGrid w:val="0"/>
              <w:spacing w:line="240" w:lineRule="auto"/>
              <w:ind w:left="0" w:leftChars="0"/>
              <w:textAlignment w:val="auto"/>
              <w:rPr>
                <w:rFonts w:hint="default" w:ascii="Times New Roman" w:hAnsi="Times New Roman" w:eastAsia="方正仿宋_GB2312" w:cs="Times New Roman"/>
                <w:b w:val="0"/>
                <w:bCs w:val="0"/>
                <w:kern w:val="0"/>
                <w:sz w:val="28"/>
                <w:szCs w:val="28"/>
                <w:highlight w:val="none"/>
                <w:shd w:val="clear" w:color="auto" w:fill="FFFFFF"/>
                <w:lang w:val="en-US"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 xml:space="preserve">03强化智库赋能地方发展 </w:t>
            </w:r>
          </w:p>
          <w:p w14:paraId="17A97253">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加强马克思主义理论研究，</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产</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出一批彰显文化自信与社会主义核心价值观的重要成果；紧扣自贸港封关运作制度集成创新、国际旅游消费中心建设、铸牢中华民族共同体意识的海南实践、中国—东盟蓝色经济共同体构建等重大议题，建立“战略研究+政策分析+咨政建言”一体化工作机制，定期举办智库论坛。支持</w:t>
            </w:r>
            <w:r>
              <w:rPr>
                <w:rFonts w:hint="eastAsia" w:ascii="Times New Roman" w:hAnsi="Times New Roman" w:eastAsia="方正仿宋_GB2312" w:cs="Times New Roman"/>
                <w:b w:val="0"/>
                <w:bCs w:val="0"/>
                <w:kern w:val="0"/>
                <w:sz w:val="28"/>
                <w:szCs w:val="28"/>
                <w:highlight w:val="none"/>
                <w:shd w:val="clear" w:color="auto" w:fill="FFFFFF"/>
                <w:vertAlign w:val="baseline"/>
                <w:lang w:val="en-US" w:eastAsia="zh-CN" w:bidi="ar"/>
              </w:rPr>
              <w:t>和鼓励</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中青年学者将基础理论转化为政策建议，打造专兼结合的智库专家队伍，推动哲学社会科学重点实验室与智库建设，提升服务决策的科学性与精准性。</w:t>
            </w:r>
          </w:p>
        </w:tc>
      </w:tr>
      <w:tr w14:paraId="2D90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3B73A9F7">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04畅通科研成果转化渠道</w:t>
            </w:r>
          </w:p>
          <w:p w14:paraId="1273B65D">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建立高价值成果储备库，推动深海装备、水产养殖、海洋生物制造等重点场景落地；深化职务科技成果赋权改革，布局3-5个概念验证与测试服务平台；依托大学科技园培育专业化技术经纪人队伍，力争“十五五”期间技术合同成交额实现倍增。</w:t>
            </w:r>
          </w:p>
        </w:tc>
      </w:tr>
    </w:tbl>
    <w:p w14:paraId="65450E89">
      <w:pPr>
        <w:spacing w:line="560" w:lineRule="exact"/>
        <w:ind w:firstLine="643" w:firstLineChars="200"/>
        <w:rPr>
          <w:rFonts w:hint="default" w:ascii="Times New Roman" w:hAnsi="Times New Roman" w:eastAsia="方正楷体_GB2312" w:cs="Times New Roman"/>
          <w:b/>
          <w:bCs/>
          <w:sz w:val="32"/>
          <w:szCs w:val="32"/>
        </w:rPr>
      </w:pPr>
      <w:r>
        <w:rPr>
          <w:rFonts w:hint="default" w:ascii="Times New Roman" w:hAnsi="Times New Roman" w:eastAsia="方正楷体_GB2312" w:cs="Times New Roman"/>
          <w:b/>
          <w:bCs/>
          <w:sz w:val="32"/>
          <w:szCs w:val="32"/>
        </w:rPr>
        <w:t>（四）科技合作拓展工程</w:t>
      </w:r>
    </w:p>
    <w:p w14:paraId="0F803C5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15.国内科技合作深化计划。</w:t>
      </w:r>
      <w:r>
        <w:rPr>
          <w:rFonts w:hint="default" w:ascii="Times New Roman" w:hAnsi="Times New Roman" w:eastAsia="仿宋_GB2312" w:cs="Times New Roman"/>
          <w:sz w:val="32"/>
          <w:szCs w:val="32"/>
        </w:rPr>
        <w:t>构建多层次、宽领域的国内科技合作网络，推动创新链与产业链深度融合。深化校际协同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以项目合作与人才培养为纽带，全面落实与中国海洋大学等高校</w:t>
      </w:r>
      <w:r>
        <w:rPr>
          <w:rFonts w:hint="default" w:ascii="Times New Roman" w:hAnsi="Times New Roman" w:eastAsia="仿宋_GB2312" w:cs="Times New Roman"/>
          <w:sz w:val="32"/>
          <w:szCs w:val="32"/>
          <w:lang w:val="en-US" w:eastAsia="zh-CN"/>
        </w:rPr>
        <w:t>院所</w:t>
      </w:r>
      <w:r>
        <w:rPr>
          <w:rFonts w:hint="default" w:ascii="Times New Roman" w:hAnsi="Times New Roman" w:eastAsia="仿宋_GB2312" w:cs="Times New Roman"/>
          <w:sz w:val="32"/>
          <w:szCs w:val="32"/>
        </w:rPr>
        <w:t>的战略协议，</w:t>
      </w:r>
      <w:r>
        <w:rPr>
          <w:rFonts w:hint="default" w:ascii="Times New Roman" w:hAnsi="Times New Roman" w:eastAsia="仿宋_GB2312" w:cs="Times New Roman"/>
          <w:sz w:val="32"/>
          <w:szCs w:val="32"/>
          <w:lang w:val="en-US" w:eastAsia="zh-CN"/>
        </w:rPr>
        <w:t>依托区位优势，</w:t>
      </w:r>
      <w:r>
        <w:rPr>
          <w:rFonts w:hint="default" w:ascii="Times New Roman" w:hAnsi="Times New Roman" w:eastAsia="仿宋_GB2312" w:cs="Times New Roman"/>
          <w:sz w:val="32"/>
          <w:szCs w:val="32"/>
        </w:rPr>
        <w:t>借助高水平高校的人才与平台</w:t>
      </w:r>
      <w:r>
        <w:rPr>
          <w:rFonts w:hint="default" w:ascii="Times New Roman" w:hAnsi="Times New Roman" w:eastAsia="仿宋_GB2312" w:cs="Times New Roman"/>
          <w:sz w:val="32"/>
          <w:szCs w:val="32"/>
          <w:lang w:eastAsia="zh-CN"/>
        </w:rPr>
        <w:t>资源</w:t>
      </w:r>
      <w:r>
        <w:rPr>
          <w:rFonts w:hint="default" w:ascii="Times New Roman" w:hAnsi="Times New Roman" w:eastAsia="仿宋_GB2312" w:cs="Times New Roman"/>
          <w:sz w:val="32"/>
          <w:szCs w:val="32"/>
        </w:rPr>
        <w:t>，联合申报国家重大科研任务，提升承担重大项目的能力。强化校企联动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推进与中海油、海南省农垦集团、海南旅投、海南交投、三亚华大生命研究院及海南海洋产业集团等龙头企业的实质性合作，推动合作协议落地见效，聚焦产业关键核心技术开展联合攻关。创新合作机制，探索与地方政府共建区域技术转移转化中心，加速科技成果向现实生产力转化。通过共建产学研合作实体或技术攻关联盟，产出一批高价值、可转化的科研成果，切实提升服务区域经济社会高质量发展的贡献度。</w:t>
      </w:r>
      <w:r>
        <w:rPr>
          <w:rFonts w:hint="eastAsia" w:ascii="Times New Roman" w:hAnsi="Times New Roman" w:eastAsia="仿宋_GB2312" w:cs="Times New Roman"/>
          <w:sz w:val="32"/>
          <w:szCs w:val="32"/>
        </w:rPr>
        <w:t>深化与中国海洋大学、中国南海研究等国内高水平社科研究机构和高校的战略合作，在南海海洋文化研究、海洋旅游经济研究、海洋合作与治理、区域国别研究等领域建立协同创新网络，开展联合项目攻关、学术资源共享，提升学校人文社科研究的开放度和影响力。加强与省、市委政策研究室、省社科联（省社科院）等省内智库机构的常态化合作，建立联合调研、成果共享机制，提升服务地方发展的精准度和实效性。</w:t>
      </w:r>
    </w:p>
    <w:p w14:paraId="49C375B1">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16.国际科技合作拓展计划。</w:t>
      </w:r>
      <w:r>
        <w:rPr>
          <w:rFonts w:hint="default" w:ascii="Times New Roman" w:hAnsi="Times New Roman" w:eastAsia="仿宋_GB2312" w:cs="Times New Roman"/>
          <w:sz w:val="32"/>
          <w:szCs w:val="32"/>
          <w:lang w:val="en-US" w:eastAsia="zh-CN"/>
        </w:rPr>
        <w:t>以更加开放的姿态融入全球创新网络，着力提升国际科技合作水平，打造热带海洋国际合作与交流新前沿。做实高端平台，高质量建设“中国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马来亚海洋生物技术联合实验室”，聚焦海洋生物技术等前沿领域，围绕重大科学问题开展实质性联合攻关</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深化与加拿大纪念大学的实质性科技合作，共建联合实验室，推动在新污染物监测、海洋污染治理及AI建模应用等研究方向的优化升级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积极争取更多国际科技合作平台在学校布局，打造海洋科技国际合作新高地。深化项目驱动，重点面向东盟及“一带一路”沿线国家，以联合申报国际科技合作项目为抓手，深化与海外高水平大学的实质性科研合作，构建多层次国际合作格局。畅通交流渠道，鼓励科研骨干通过出国研修、参加国际会议、短期学术访问等多种形式“走出去”，深度参与国际学术圈，</w:t>
      </w:r>
      <w:r>
        <w:rPr>
          <w:rFonts w:hint="eastAsia" w:ascii="Times New Roman" w:hAnsi="Times New Roman" w:eastAsia="仿宋_GB2312" w:cs="Times New Roman"/>
          <w:sz w:val="32"/>
          <w:szCs w:val="32"/>
        </w:rPr>
        <w:t>积极</w:t>
      </w:r>
      <w:r>
        <w:rPr>
          <w:rFonts w:hint="eastAsia" w:ascii="Times New Roman" w:hAnsi="Times New Roman" w:eastAsia="仿宋_GB2312" w:cs="Times New Roman"/>
          <w:color w:val="auto"/>
          <w:kern w:val="2"/>
          <w:sz w:val="32"/>
          <w:szCs w:val="32"/>
          <w:shd w:val="clear" w:color="auto" w:fill="auto"/>
        </w:rPr>
        <w:t>在国际学术组织和国际会议发声、</w:t>
      </w:r>
      <w:r>
        <w:rPr>
          <w:rFonts w:hint="default" w:ascii="Times New Roman" w:hAnsi="Times New Roman" w:eastAsia="仿宋_GB2312" w:cs="Times New Roman"/>
          <w:sz w:val="32"/>
          <w:szCs w:val="32"/>
          <w:lang w:val="en-US" w:eastAsia="zh-CN"/>
        </w:rPr>
        <w:t>拓宽学科建设视野，</w:t>
      </w:r>
      <w:r>
        <w:rPr>
          <w:rFonts w:hint="eastAsia" w:ascii="Times New Roman" w:hAnsi="Times New Roman" w:eastAsia="仿宋_GB2312" w:cs="Times New Roman"/>
          <w:color w:val="auto"/>
          <w:kern w:val="2"/>
          <w:sz w:val="32"/>
          <w:szCs w:val="32"/>
          <w:shd w:val="clear" w:color="auto" w:fill="auto"/>
        </w:rPr>
        <w:t>提升国际话语权，</w:t>
      </w:r>
      <w:r>
        <w:rPr>
          <w:rFonts w:hint="default" w:ascii="Times New Roman" w:hAnsi="Times New Roman" w:eastAsia="仿宋_GB2312" w:cs="Times New Roman"/>
          <w:sz w:val="32"/>
          <w:szCs w:val="32"/>
          <w:lang w:val="en-US" w:eastAsia="zh-CN"/>
        </w:rPr>
        <w:t>培养具有国际竞争力的科研创新人才。</w:t>
      </w:r>
      <w:r>
        <w:rPr>
          <w:rFonts w:hint="eastAsia" w:ascii="Times New Roman" w:hAnsi="Times New Roman" w:eastAsia="仿宋_GB2312" w:cs="Times New Roman"/>
          <w:sz w:val="32"/>
          <w:szCs w:val="32"/>
        </w:rPr>
        <w:t>积极拓展人文社科领域的国际学术交流与合作网络，依托海上丝绸之路研究院</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海南省重点智库</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重点面向东盟及“一带一路”沿线国家高校在海洋历史文化、海洋社会治理、海洋文化遗产保护、海洋旅游合作开发、区域国别研究等领域开展合作，共同举办学术会议，推动中华优秀海洋文化的国际传播；搭建中国（海南）－东盟海洋人文交流合作平台，定期举办“东南亚与中国（海南）论坛”等学术活动，推动构建海洋命运共同体的人文基础，提升学校在东盟国家的人文影响力。</w:t>
      </w:r>
    </w:p>
    <w:p w14:paraId="37E16E55">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17.学术影响力提升计划。</w:t>
      </w:r>
      <w:r>
        <w:rPr>
          <w:rFonts w:hint="default" w:ascii="Times New Roman" w:hAnsi="Times New Roman" w:eastAsia="仿宋_GB2312" w:cs="Times New Roman"/>
          <w:sz w:val="32"/>
          <w:szCs w:val="32"/>
          <w:lang w:val="en-US" w:eastAsia="zh-CN"/>
        </w:rPr>
        <w:t>推进海南省水产学会等学术组织常态化、实体化运行，积极牵头成立崖州湾国家大学科技园高校联盟，搭建校地协同创新桥梁。主动加强与全国学会及省级学会的对接联系，积极导入优质学术资源和科普资源，依托学术组织平台实现资源整合与协同发力，为学术影响力提升提供坚实组织保障。充分发挥校科协联系科技工作者的桥梁纽带作用，将科学普及放在与科技创新同等重要的位置，推进科普工作模式创新，不断提升科普公共服务能力。鼓励并支持优秀教师在国际学术组织、专业机构或高水平期刊担任重要职务，通过积极参与国际大科学计划和全球治理议题，在规则制定与议题引领中实现话语能级的实质性突破。持续做优做强“问海论坛”“天涯讲坛”等品牌学术活动，围绕海洋科学、海洋生态、海洋文</w:t>
      </w:r>
      <w:r>
        <w:rPr>
          <w:rFonts w:hint="eastAsia" w:ascii="Times New Roman" w:hAnsi="Times New Roman" w:eastAsia="仿宋_GB2312" w:cs="Times New Roman"/>
          <w:sz w:val="32"/>
          <w:szCs w:val="32"/>
          <w:lang w:val="en-US" w:eastAsia="zh-CN"/>
        </w:rPr>
        <w:t>旅</w:t>
      </w:r>
      <w:r>
        <w:rPr>
          <w:rFonts w:hint="eastAsia" w:ascii="Times New Roman" w:hAnsi="Times New Roman" w:eastAsia="仿宋_GB2312" w:cs="Times New Roman"/>
          <w:sz w:val="32"/>
          <w:szCs w:val="32"/>
          <w:highlight w:val="none"/>
          <w:lang w:val="en-US" w:eastAsia="zh"/>
          <w:woUserID w:val="5"/>
        </w:rPr>
        <w:t>和</w:t>
      </w:r>
      <w:r>
        <w:rPr>
          <w:rFonts w:hint="eastAsia" w:ascii="Times New Roman" w:hAnsi="Times New Roman" w:eastAsia="仿宋_GB2312" w:cs="Times New Roman"/>
          <w:sz w:val="32"/>
          <w:szCs w:val="32"/>
          <w:highlight w:val="none"/>
          <w:woUserID w:val="5"/>
        </w:rPr>
        <w:t>区域国别</w:t>
      </w:r>
      <w:r>
        <w:rPr>
          <w:rFonts w:hint="default" w:ascii="Times New Roman" w:hAnsi="Times New Roman" w:eastAsia="仿宋_GB2312" w:cs="Times New Roman"/>
          <w:sz w:val="32"/>
          <w:szCs w:val="32"/>
          <w:lang w:val="en-US" w:eastAsia="zh-CN"/>
        </w:rPr>
        <w:t>等特色领域，在巩固提升水产学科等传统学术会议品牌的基础上，积极主办或承办国际性、全国性高端学术会议，营造浓郁校园学术氛围，显著提升学校在学科领域、行业产业及国际社会的综合影响力。</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F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B5C7EA" w:themeFill="accent1" w:themeFillTint="66"/>
            <w:tcMar>
              <w:top w:w="113" w:type="dxa"/>
              <w:left w:w="108" w:type="dxa"/>
              <w:bottom w:w="0" w:type="dxa"/>
              <w:right w:w="108" w:type="dxa"/>
            </w:tcMar>
            <w:vAlign w:val="top"/>
          </w:tcPr>
          <w:p w14:paraId="408F8ADE">
            <w:pPr>
              <w:keepNext w:val="0"/>
              <w:keepLines w:val="0"/>
              <w:pageBreakBefore w:val="0"/>
              <w:widowControl w:val="0"/>
              <w:kinsoku/>
              <w:wordWrap/>
              <w:overflowPunct/>
              <w:topLinePunct w:val="0"/>
              <w:autoSpaceDE w:val="0"/>
              <w:autoSpaceDN/>
              <w:bidi w:val="0"/>
              <w:adjustRightInd w:val="0"/>
              <w:snapToGrid w:val="0"/>
              <w:spacing w:line="240" w:lineRule="auto"/>
              <w:jc w:val="center"/>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bCs/>
                <w:kern w:val="0"/>
                <w:sz w:val="28"/>
                <w:szCs w:val="28"/>
                <w:highlight w:val="none"/>
                <w:shd w:val="clear" w:color="auto" w:fill="FFFFFF"/>
                <w:lang w:eastAsia="zh-CN" w:bidi="ar"/>
              </w:rPr>
              <w:t>专题</w:t>
            </w:r>
            <w:r>
              <w:rPr>
                <w:rFonts w:hint="default" w:ascii="Times New Roman" w:hAnsi="Times New Roman" w:eastAsia="方正仿宋_GB2312" w:cs="Times New Roman"/>
                <w:b/>
                <w:bCs/>
                <w:kern w:val="0"/>
                <w:sz w:val="28"/>
                <w:szCs w:val="28"/>
                <w:highlight w:val="none"/>
                <w:shd w:val="clear" w:color="auto" w:fill="FFFFFF"/>
                <w:lang w:val="en-US" w:eastAsia="zh-CN" w:bidi="ar"/>
              </w:rPr>
              <w:t>4 科技合作拓展与影响力提升</w:t>
            </w:r>
          </w:p>
        </w:tc>
      </w:tr>
      <w:tr w14:paraId="5638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5BF9E7B8">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01深化国内科技合作网络</w:t>
            </w:r>
          </w:p>
          <w:p w14:paraId="6BEB2F4C">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深化与中国海洋大学等高校院所的战略协同，联合申报国家重大科研任务；重点推进与中海油、海南省农垦集团、海南旅投、海南交投、三亚华大生命研究院等龙头企业的实质性合作，聚焦产业关键核心技术开展联合攻关；探索与地方政府共建区域技术转移转化中心。</w:t>
            </w:r>
          </w:p>
        </w:tc>
      </w:tr>
      <w:tr w14:paraId="5B00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7C12AE8D">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02拓展国际科技合作空间</w:t>
            </w:r>
          </w:p>
          <w:p w14:paraId="1CA3E3DF">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高质量建设“中国</w:t>
            </w:r>
            <w:r>
              <w:rPr>
                <w:rFonts w:hint="eastAsia" w:ascii="Times New Roman" w:hAnsi="Times New Roman" w:eastAsia="方正仿宋_GB2312" w:cs="Times New Roman"/>
                <w:b w:val="0"/>
                <w:bCs w:val="0"/>
                <w:kern w:val="0"/>
                <w:sz w:val="28"/>
                <w:szCs w:val="28"/>
                <w:highlight w:val="none"/>
                <w:shd w:val="clear" w:color="auto" w:fill="FFFFFF"/>
                <w:vertAlign w:val="baseline"/>
                <w:lang w:eastAsia="zh-CN" w:bidi="ar"/>
              </w:rPr>
              <w:t>—</w:t>
            </w: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马来亚海洋生物技术联合实验室”，重点面向东盟及“一带一路”沿线国家，深化与海外高水平大学的实质性科研合作；深度参与国际学术圈，培养具有国际竞争力的科研创新人才，打造热带海洋国际合作新高地。积极拓展人文社科领域的国际学术交流与合作网络，推动中华优秀海洋文化的国际传播；搭建中国（海南）－东盟海洋人文交流合作平台，定期举办“东南亚与中国（海南）论坛”等学术活动，推动构建海洋命运共同体的人文基础，提升学校在东盟国家的人文影响力。</w:t>
            </w:r>
          </w:p>
        </w:tc>
      </w:tr>
      <w:tr w14:paraId="0961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BE3F4" w:themeFill="accent1" w:themeFillTint="32"/>
            <w:tcMar>
              <w:top w:w="113" w:type="dxa"/>
              <w:left w:w="108" w:type="dxa"/>
              <w:bottom w:w="0" w:type="dxa"/>
              <w:right w:w="108" w:type="dxa"/>
            </w:tcMar>
            <w:vAlign w:val="top"/>
          </w:tcPr>
          <w:p w14:paraId="00433070">
            <w:pPr>
              <w:keepNext w:val="0"/>
              <w:keepLines w:val="0"/>
              <w:pageBreakBefore w:val="0"/>
              <w:widowControl w:val="0"/>
              <w:kinsoku/>
              <w:wordWrap/>
              <w:overflowPunct/>
              <w:topLinePunct w:val="0"/>
              <w:autoSpaceDE w:val="0"/>
              <w:autoSpaceDN/>
              <w:bidi w:val="0"/>
              <w:adjustRightInd w:val="0"/>
              <w:snapToGrid w:val="0"/>
              <w:spacing w:line="240" w:lineRule="auto"/>
              <w:textAlignment w:val="auto"/>
              <w:rPr>
                <w:rFonts w:hint="default" w:ascii="Times New Roman" w:hAnsi="Times New Roman" w:eastAsia="方正仿宋_GB2312" w:cs="Times New Roman"/>
                <w:b w:val="0"/>
                <w:bCs w:val="0"/>
                <w:kern w:val="0"/>
                <w:sz w:val="28"/>
                <w:szCs w:val="28"/>
                <w:highlight w:val="none"/>
                <w:shd w:val="clear" w:color="auto" w:fill="FFFFFF"/>
                <w:lang w:val="en-US" w:eastAsia="zh-CN" w:bidi="ar"/>
              </w:rPr>
            </w:pPr>
            <w:r>
              <w:rPr>
                <w:rFonts w:hint="default" w:ascii="Times New Roman" w:hAnsi="Times New Roman" w:eastAsia="方正仿宋_GB2312" w:cs="Times New Roman"/>
                <w:b w:val="0"/>
                <w:bCs w:val="0"/>
                <w:kern w:val="0"/>
                <w:sz w:val="28"/>
                <w:szCs w:val="28"/>
                <w:highlight w:val="none"/>
                <w:shd w:val="clear" w:color="auto" w:fill="FFFFFF"/>
                <w:lang w:val="en-US" w:eastAsia="zh-CN" w:bidi="ar"/>
              </w:rPr>
              <w:t>03全方位提升学术影响力</w:t>
            </w:r>
          </w:p>
          <w:p w14:paraId="7559F8C0">
            <w:pPr>
              <w:keepNext w:val="0"/>
              <w:keepLines w:val="0"/>
              <w:pageBreakBefore w:val="0"/>
              <w:widowControl w:val="0"/>
              <w:kinsoku/>
              <w:wordWrap/>
              <w:overflowPunct/>
              <w:topLinePunct w:val="0"/>
              <w:autoSpaceDE w:val="0"/>
              <w:autoSpaceDN/>
              <w:bidi w:val="0"/>
              <w:adjustRightInd w:val="0"/>
              <w:snapToGrid w:val="0"/>
              <w:spacing w:line="240" w:lineRule="auto"/>
              <w:ind w:left="357" w:leftChars="170"/>
              <w:textAlignment w:val="auto"/>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pPr>
            <w:r>
              <w:rPr>
                <w:rFonts w:hint="default" w:ascii="Times New Roman" w:hAnsi="Times New Roman" w:eastAsia="方正仿宋_GB2312" w:cs="Times New Roman"/>
                <w:b w:val="0"/>
                <w:bCs w:val="0"/>
                <w:kern w:val="0"/>
                <w:sz w:val="28"/>
                <w:szCs w:val="28"/>
                <w:highlight w:val="none"/>
                <w:shd w:val="clear" w:color="auto" w:fill="FFFFFF"/>
                <w:vertAlign w:val="baseline"/>
                <w:lang w:eastAsia="zh-CN" w:bidi="ar"/>
              </w:rPr>
              <w:t>推进海南省水产学会等学术组织常态化、实体化运行，牵头成立崖州湾国家大学科技园高校联盟，主动对接全国学会导入优质学术资源；持续做优做强“问海论坛”“天涯讲坛”等品牌学术活动，积极主办或承办国际性、全国性高端学术会议。</w:t>
            </w:r>
          </w:p>
        </w:tc>
      </w:tr>
    </w:tbl>
    <w:p w14:paraId="437C1667">
      <w:pPr>
        <w:spacing w:line="560" w:lineRule="exact"/>
        <w:ind w:firstLine="643" w:firstLineChars="200"/>
        <w:rPr>
          <w:rFonts w:hint="default" w:ascii="Times New Roman" w:hAnsi="Times New Roman" w:eastAsia="方正楷体_GB2312" w:cs="Times New Roman"/>
          <w:b/>
          <w:bCs/>
          <w:sz w:val="32"/>
          <w:szCs w:val="32"/>
          <w:highlight w:val="none"/>
        </w:rPr>
      </w:pPr>
      <w:r>
        <w:rPr>
          <w:rFonts w:hint="default" w:ascii="Times New Roman" w:hAnsi="Times New Roman" w:eastAsia="方正楷体_GB2312" w:cs="Times New Roman"/>
          <w:b/>
          <w:bCs/>
          <w:sz w:val="32"/>
          <w:szCs w:val="32"/>
          <w:highlight w:val="none"/>
        </w:rPr>
        <w:t>（五）科研管理创新工程</w:t>
      </w:r>
    </w:p>
    <w:p w14:paraId="11F6834D">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18.有组织科研机制创新计划。</w:t>
      </w:r>
      <w:r>
        <w:rPr>
          <w:rFonts w:hint="default" w:ascii="Times New Roman" w:hAnsi="Times New Roman" w:eastAsia="仿宋_GB2312" w:cs="Times New Roman"/>
          <w:sz w:val="32"/>
          <w:szCs w:val="32"/>
        </w:rPr>
        <w:t>通过系统性变革科研组织模式，强化战略引领与跨学科协同，构建高效协同、服务需求的科研新机制。主动对接国家战略与区域发展需求，将科研方向聚焦于“卡脖子”技术、产业转型升级等关键问题，在服务国家战略中彰显“热海院担当”。全力推动科研范式从自由探索向战略需求牵引转型，强化人工智能等前沿领域布局，打破学科壁垒，深化交叉融合，</w:t>
      </w:r>
      <w:r>
        <w:rPr>
          <w:rFonts w:hint="default" w:ascii="Times New Roman" w:hAnsi="Times New Roman" w:eastAsia="仿宋_GB2312" w:cs="Times New Roman"/>
          <w:sz w:val="32"/>
          <w:szCs w:val="32"/>
          <w:highlight w:val="none"/>
        </w:rPr>
        <w:t>完善跨学院协同机制，组建跨学科创新团队，开展重大联合攻关。聚焦海洋生态环境监测、海洋生物资源检测、水产种质检测等特色领域，有序推进CMA资质申请与能力扩项</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着力提升</w:t>
      </w:r>
      <w:r>
        <w:rPr>
          <w:rFonts w:hint="default" w:ascii="Times New Roman" w:hAnsi="Times New Roman" w:eastAsia="仿宋_GB2312" w:cs="Times New Roman"/>
          <w:sz w:val="32"/>
          <w:szCs w:val="32"/>
          <w:highlight w:val="none"/>
          <w:lang w:val="en-US" w:eastAsia="zh-CN"/>
        </w:rPr>
        <w:t>校院两级</w:t>
      </w:r>
      <w:r>
        <w:rPr>
          <w:rFonts w:hint="default" w:ascii="Times New Roman" w:hAnsi="Times New Roman" w:eastAsia="仿宋_GB2312" w:cs="Times New Roman"/>
          <w:sz w:val="32"/>
          <w:szCs w:val="32"/>
          <w:highlight w:val="none"/>
        </w:rPr>
        <w:t>科研管理队伍的专业化水平，增强主动识变、应变、求变的政治自觉，通过研读前沿动态、跟踪学术前沿，打通上级资源与教师需求的对接渠道，为科研人员提供精准化</w:t>
      </w:r>
      <w:r>
        <w:rPr>
          <w:rFonts w:hint="default" w:ascii="Times New Roman" w:hAnsi="Times New Roman" w:eastAsia="仿宋_GB2312" w:cs="Times New Roman"/>
          <w:sz w:val="32"/>
          <w:szCs w:val="32"/>
        </w:rPr>
        <w:t>指导，实现从“服务科研”到“高水平引导科研”的根本转变，为有组织科研提供坚实保障。</w:t>
      </w:r>
      <w:r>
        <w:rPr>
          <w:rFonts w:hint="default" w:ascii="Times New Roman" w:hAnsi="Times New Roman" w:eastAsia="仿宋_GB2312" w:cs="Times New Roman"/>
          <w:sz w:val="32"/>
          <w:szCs w:val="32"/>
          <w:lang w:val="en-US" w:eastAsia="zh-CN"/>
        </w:rPr>
        <w:t>进一步健全校学术委员会和</w:t>
      </w:r>
      <w:r>
        <w:rPr>
          <w:rFonts w:hint="eastAsia" w:ascii="Times New Roman" w:hAnsi="Times New Roman" w:eastAsia="仿宋_GB2312" w:cs="Times New Roman"/>
          <w:sz w:val="32"/>
          <w:szCs w:val="32"/>
          <w:lang w:val="en-US" w:eastAsia="zh-CN"/>
        </w:rPr>
        <w:t>二级</w:t>
      </w:r>
      <w:r>
        <w:rPr>
          <w:rFonts w:hint="default" w:ascii="Times New Roman" w:hAnsi="Times New Roman" w:eastAsia="仿宋_GB2312" w:cs="Times New Roman"/>
          <w:sz w:val="32"/>
          <w:szCs w:val="32"/>
          <w:lang w:val="en-US" w:eastAsia="zh-CN"/>
        </w:rPr>
        <w:t>学院学术委员会在科研活动中的决策和监督机制，充分发挥教授治学的监督、指导作用。</w:t>
      </w:r>
    </w:p>
    <w:p w14:paraId="7C7C29C0">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19.科研评价激励改革计划。</w:t>
      </w:r>
      <w:r>
        <w:rPr>
          <w:rFonts w:hint="default" w:ascii="Times New Roman" w:hAnsi="Times New Roman" w:eastAsia="仿宋_GB2312" w:cs="Times New Roman"/>
          <w:sz w:val="32"/>
          <w:szCs w:val="32"/>
        </w:rPr>
        <w:t>构建以创新质量和实际贡献为核心的多元评价体系，激发科研人员内生动力，营造健康活跃的创新生态。</w:t>
      </w:r>
      <w:r>
        <w:rPr>
          <w:rFonts w:hint="default" w:ascii="Times New Roman" w:hAnsi="Times New Roman" w:eastAsia="仿宋_GB2312" w:cs="Times New Roman"/>
          <w:sz w:val="32"/>
          <w:szCs w:val="32"/>
          <w:lang w:eastAsia="zh-CN"/>
        </w:rPr>
        <w:t>突出品德、能力、质量、贡献和业绩导向，将评价重心引导至高水平成果产出和解决重大问题的实际贡献上。</w:t>
      </w:r>
      <w:r>
        <w:rPr>
          <w:rFonts w:hint="default" w:ascii="Times New Roman" w:hAnsi="Times New Roman" w:eastAsia="仿宋_GB2312" w:cs="Times New Roman"/>
          <w:sz w:val="32"/>
          <w:szCs w:val="32"/>
        </w:rPr>
        <w:t>实施分类评价机制，针对基础研究、应用研究、成果转化等不同类型工作，分别采用代表性成果评价、同行评议、用户</w:t>
      </w:r>
      <w:r>
        <w:rPr>
          <w:rFonts w:hint="default" w:ascii="Times New Roman" w:hAnsi="Times New Roman" w:eastAsia="仿宋_GB2312" w:cs="Times New Roman"/>
          <w:sz w:val="32"/>
          <w:szCs w:val="32"/>
          <w:lang w:eastAsia="zh-CN"/>
        </w:rPr>
        <w:t>与</w:t>
      </w:r>
      <w:r>
        <w:rPr>
          <w:rFonts w:hint="default" w:ascii="Times New Roman" w:hAnsi="Times New Roman" w:eastAsia="仿宋_GB2312" w:cs="Times New Roman"/>
          <w:sz w:val="32"/>
          <w:szCs w:val="32"/>
        </w:rPr>
        <w:t>市场评价等多元方式，大力加强国际同行评价，推行长周期评价，鼓励</w:t>
      </w:r>
      <w:r>
        <w:rPr>
          <w:rFonts w:hint="default" w:ascii="Times New Roman" w:hAnsi="Times New Roman" w:eastAsia="仿宋_GB2312" w:cs="Times New Roman"/>
          <w:sz w:val="32"/>
          <w:szCs w:val="32"/>
          <w:lang w:eastAsia="zh-CN"/>
        </w:rPr>
        <w:t>科研人员</w:t>
      </w:r>
      <w:r>
        <w:rPr>
          <w:rFonts w:hint="default" w:ascii="Times New Roman" w:hAnsi="Times New Roman" w:eastAsia="仿宋_GB2312" w:cs="Times New Roman"/>
          <w:sz w:val="32"/>
          <w:szCs w:val="32"/>
        </w:rPr>
        <w:t>潜心研究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持续攻关。健全以创新质量为导向的资源分配与激励机制，将科研成果增量提质</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纳入学院绩效考核，与资源配置、评优评先直接挂钩，</w:t>
      </w:r>
      <w:r>
        <w:rPr>
          <w:rFonts w:hint="default" w:ascii="Times New Roman" w:hAnsi="Times New Roman" w:eastAsia="仿宋_GB2312" w:cs="Times New Roman"/>
          <w:sz w:val="32"/>
          <w:szCs w:val="32"/>
          <w:lang w:eastAsia="zh-CN"/>
        </w:rPr>
        <w:t>充分</w:t>
      </w:r>
      <w:r>
        <w:rPr>
          <w:rFonts w:hint="default" w:ascii="Times New Roman" w:hAnsi="Times New Roman" w:eastAsia="仿宋_GB2312" w:cs="Times New Roman"/>
          <w:sz w:val="32"/>
          <w:szCs w:val="32"/>
        </w:rPr>
        <w:t>激发二级单位和科研人员的积极性。完善科研项目与经费管理制度，</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加强过程管理和督促检查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赋予科研人员更大的学术自主权，保障学术自由，加快构建统筹协调、科学有效的科技创新治理体系，为创造一流成果提供坚实的制度环境保障。</w:t>
      </w:r>
    </w:p>
    <w:p w14:paraId="24FCA485">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20.科研诚信建设计划。</w:t>
      </w:r>
      <w:r>
        <w:rPr>
          <w:rFonts w:hint="default" w:ascii="Times New Roman" w:hAnsi="Times New Roman" w:eastAsia="仿宋_GB2312" w:cs="Times New Roman"/>
          <w:sz w:val="32"/>
          <w:szCs w:val="32"/>
        </w:rPr>
        <w:t>坚持把科研诚信作为学术创新的生命线，构建教育、自律、监督、惩治一体化的</w:t>
      </w:r>
      <w:r>
        <w:rPr>
          <w:rFonts w:hint="default" w:ascii="Times New Roman" w:hAnsi="Times New Roman" w:eastAsia="仿宋_GB2312" w:cs="Times New Roman"/>
          <w:sz w:val="32"/>
          <w:szCs w:val="32"/>
          <w:lang w:eastAsia="zh-CN"/>
        </w:rPr>
        <w:t>科研</w:t>
      </w:r>
      <w:r>
        <w:rPr>
          <w:rFonts w:hint="default" w:ascii="Times New Roman" w:hAnsi="Times New Roman" w:eastAsia="仿宋_GB2312" w:cs="Times New Roman"/>
          <w:sz w:val="32"/>
          <w:szCs w:val="32"/>
        </w:rPr>
        <w:t>诚信体系。完善科研活动全流程诚信管理，制定科研诚信等管理制度，明确科研人员、科研活动等相关科研行为规范，规范科研失信行为调查程序</w:t>
      </w:r>
      <w:r>
        <w:rPr>
          <w:rFonts w:hint="eastAsia" w:ascii="Times New Roman" w:hAnsi="Times New Roman" w:eastAsia="仿宋_GB2312" w:cs="Times New Roman"/>
          <w:sz w:val="32"/>
          <w:szCs w:val="32"/>
          <w:lang w:eastAsia="zh-CN"/>
        </w:rPr>
        <w:t>，特别注重防范</w:t>
      </w:r>
      <w:r>
        <w:rPr>
          <w:rFonts w:hint="eastAsia" w:ascii="Times New Roman" w:hAnsi="Times New Roman" w:eastAsia="仿宋_GB2312" w:cs="Times New Roman"/>
          <w:sz w:val="32"/>
          <w:szCs w:val="32"/>
          <w:lang w:val="en-US" w:eastAsia="zh-CN"/>
        </w:rPr>
        <w:t>AI</w:t>
      </w:r>
      <w:r>
        <w:rPr>
          <w:rFonts w:hint="eastAsia" w:ascii="Times New Roman" w:hAnsi="Times New Roman" w:eastAsia="仿宋_GB2312" w:cs="Times New Roman"/>
          <w:sz w:val="32"/>
          <w:szCs w:val="32"/>
          <w:lang w:eastAsia="zh-CN"/>
        </w:rPr>
        <w:t>生成内容滥用等新型学术不端风险</w:t>
      </w:r>
      <w:r>
        <w:rPr>
          <w:rFonts w:hint="default" w:ascii="Times New Roman" w:hAnsi="Times New Roman" w:eastAsia="仿宋_GB2312" w:cs="Times New Roman"/>
          <w:sz w:val="32"/>
          <w:szCs w:val="32"/>
        </w:rPr>
        <w:t>。建立科研诚信典型案例库，通过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案例剖析+风险预警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开展常态化警示教育，将学术规范教育纳入新教师培训和研究生入学教育重要内容。弘扬科学家精神，开展科研诚信宣传等主题活动，引导师生恪守学术规范，营造风清气正、诚实守信的创新环境。</w:t>
      </w:r>
    </w:p>
    <w:p w14:paraId="1564111F">
      <w:pPr>
        <w:widowControl w:val="0"/>
        <w:spacing w:line="560" w:lineRule="exact"/>
        <w:ind w:firstLine="640" w:firstLineChars="200"/>
        <w:jc w:val="both"/>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五、保障措施</w:t>
      </w:r>
    </w:p>
    <w:p w14:paraId="3AF18DFB">
      <w:pPr>
        <w:widowControl w:val="0"/>
        <w:spacing w:line="560" w:lineRule="exact"/>
        <w:ind w:firstLine="643" w:firstLineChars="200"/>
        <w:jc w:val="both"/>
        <w:rPr>
          <w:rFonts w:hint="default" w:ascii="Times New Roman" w:hAnsi="Times New Roman" w:eastAsia="方正楷体_GB2312" w:cs="Times New Roman"/>
          <w:b/>
          <w:bCs/>
          <w:kern w:val="2"/>
          <w:sz w:val="32"/>
          <w:szCs w:val="32"/>
          <w:lang w:val="en-US" w:eastAsia="zh-CN" w:bidi="ar-SA"/>
        </w:rPr>
      </w:pPr>
      <w:r>
        <w:rPr>
          <w:rFonts w:hint="default" w:ascii="Times New Roman" w:hAnsi="Times New Roman" w:eastAsia="方正楷体_GB2312" w:cs="Times New Roman"/>
          <w:b/>
          <w:bCs/>
          <w:kern w:val="2"/>
          <w:sz w:val="32"/>
          <w:szCs w:val="32"/>
          <w:lang w:val="en-US" w:eastAsia="zh-CN" w:bidi="ar-SA"/>
        </w:rPr>
        <w:t>（一）强化组织领导</w:t>
      </w:r>
    </w:p>
    <w:p w14:paraId="48C89046">
      <w:pPr>
        <w:widowControl/>
        <w:shd w:val="clear" w:color="auto" w:fill="FFFFFF"/>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学校党委加强对科研工作的统一领导、系统规划与统筹推动，汇聚各方力量推进学校整体工作。提升学校科研管理部门、二级单位间的组织协</w:t>
      </w:r>
      <w:r>
        <w:rPr>
          <w:rFonts w:hint="eastAsia" w:ascii="Times New Roman" w:hAnsi="Times New Roman" w:eastAsia="仿宋_GB2312" w:cs="Times New Roman"/>
          <w:sz w:val="32"/>
          <w:szCs w:val="32"/>
          <w:lang w:val="en-US" w:eastAsia="zh-CN"/>
        </w:rPr>
        <w:t>同效能</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压实</w:t>
      </w:r>
      <w:r>
        <w:rPr>
          <w:rFonts w:hint="default" w:ascii="Times New Roman" w:hAnsi="Times New Roman" w:eastAsia="仿宋_GB2312" w:cs="Times New Roman"/>
          <w:sz w:val="32"/>
          <w:szCs w:val="32"/>
          <w:lang w:val="en-US" w:eastAsia="zh-CN"/>
        </w:rPr>
        <w:t>二级单位的主体责任，调动干事创业的积极性、主动性与创造性。各单位主动谋划团队组建、项目与成果培育、社会服务等各项任务，激励教职工参与科研工作。科研管理相关部门认真履行职责，强化协调沟通与服务，为科研工作者提供便利条件。</w:t>
      </w:r>
    </w:p>
    <w:p w14:paraId="4877973E">
      <w:pPr>
        <w:widowControl w:val="0"/>
        <w:spacing w:line="560" w:lineRule="exact"/>
        <w:ind w:firstLine="643" w:firstLineChars="200"/>
        <w:jc w:val="both"/>
        <w:rPr>
          <w:rFonts w:hint="default" w:ascii="Times New Roman" w:hAnsi="Times New Roman" w:eastAsia="方正楷体_GB2312" w:cs="Times New Roman"/>
          <w:b/>
          <w:bCs/>
          <w:kern w:val="2"/>
          <w:sz w:val="32"/>
          <w:szCs w:val="32"/>
          <w:lang w:val="en-US" w:eastAsia="zh-CN" w:bidi="ar-SA"/>
        </w:rPr>
      </w:pPr>
      <w:r>
        <w:rPr>
          <w:rFonts w:hint="default" w:ascii="Times New Roman" w:hAnsi="Times New Roman" w:eastAsia="方正楷体_GB2312" w:cs="Times New Roman"/>
          <w:b/>
          <w:bCs/>
          <w:kern w:val="2"/>
          <w:sz w:val="32"/>
          <w:szCs w:val="32"/>
          <w:lang w:val="en-US" w:eastAsia="zh-CN" w:bidi="ar-SA"/>
        </w:rPr>
        <w:t>（二）加大科研资金投入</w:t>
      </w:r>
    </w:p>
    <w:p w14:paraId="44A25B38">
      <w:pPr>
        <w:widowControl/>
        <w:shd w:val="clear" w:color="auto" w:fill="FFFFFF"/>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用足用好国家及地方科技创新政策，积极营造有利于激发教师科研活力的制度环境，全面提升学校承担重大科研任务和产出标志性成果的能力，力争在争取国家、省、市级财政投入上实现新突破。坚持以项目为纽带，深化产学研用协同创新，不断拓宽资金来源渠道，通过联合攻关、平台共建、成果转化等方式，有效吸引地方政府、企业及社会资本参与学校科研发展，构建多元化、可持续的资金投入格局。</w:t>
      </w:r>
    </w:p>
    <w:p w14:paraId="138E1397">
      <w:pPr>
        <w:widowControl w:val="0"/>
        <w:spacing w:line="560" w:lineRule="exact"/>
        <w:ind w:firstLine="643" w:firstLineChars="200"/>
        <w:jc w:val="both"/>
        <w:rPr>
          <w:rFonts w:hint="default" w:ascii="Times New Roman" w:hAnsi="Times New Roman" w:eastAsia="方正楷体_GB2312" w:cs="Times New Roman"/>
          <w:b/>
          <w:bCs/>
          <w:kern w:val="2"/>
          <w:sz w:val="32"/>
          <w:szCs w:val="32"/>
          <w:lang w:val="en-US" w:eastAsia="zh-CN" w:bidi="ar-SA"/>
        </w:rPr>
      </w:pPr>
      <w:r>
        <w:rPr>
          <w:rFonts w:hint="default" w:ascii="Times New Roman" w:hAnsi="Times New Roman" w:eastAsia="方正楷体_GB2312" w:cs="Times New Roman"/>
          <w:b/>
          <w:bCs/>
          <w:kern w:val="2"/>
          <w:sz w:val="32"/>
          <w:szCs w:val="32"/>
          <w:lang w:val="en-US" w:eastAsia="zh-CN" w:bidi="ar-SA"/>
        </w:rPr>
        <w:t>（三）完善制度建设</w:t>
      </w:r>
    </w:p>
    <w:p w14:paraId="5660BACF">
      <w:pPr>
        <w:widowControl/>
        <w:shd w:val="clear" w:color="auto" w:fill="FFFFFF"/>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完善以创新质量和学术贡献为核心、体现分类发展导向的科研评价与激励机制，推动职称评聘、岗位考核与绩效分配制度向承担高水平项目、产出高质量成果的科研人员倾斜，进一步增强科技奖励和绩效激励的精准性与实效性。同时，加强对二级单位的分类考核与目标激励，提高高水平项目组织、学科贡献及创新成效在考核体系中的权重，充分激发二级单位在科研组织、学科建设和团队发展中的主体作用与创新活力。</w:t>
      </w:r>
    </w:p>
    <w:p w14:paraId="6386647E">
      <w:pPr>
        <w:widowControl w:val="0"/>
        <w:spacing w:line="560" w:lineRule="exact"/>
        <w:ind w:firstLine="643" w:firstLineChars="200"/>
        <w:jc w:val="both"/>
        <w:rPr>
          <w:rFonts w:hint="default" w:ascii="Times New Roman" w:hAnsi="Times New Roman" w:cs="Times New Roman" w:eastAsiaTheme="minorEastAsia"/>
          <w:lang w:eastAsia="zh-CN"/>
        </w:rPr>
      </w:pPr>
      <w:r>
        <w:rPr>
          <w:rFonts w:hint="default" w:ascii="Times New Roman" w:hAnsi="Times New Roman" w:eastAsia="方正楷体_GB2312" w:cs="Times New Roman"/>
          <w:b/>
          <w:bCs/>
          <w:kern w:val="2"/>
          <w:sz w:val="32"/>
          <w:szCs w:val="32"/>
          <w:lang w:val="en-US" w:eastAsia="zh-CN" w:bidi="ar-SA"/>
        </w:rPr>
        <w:t>（四）健全评估监控体系</w:t>
      </w:r>
    </w:p>
    <w:p w14:paraId="642A82E2">
      <w:pPr>
        <w:widowControl/>
        <w:shd w:val="clear" w:color="auto" w:fill="FFFFFF"/>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设立规划监测评估体系，实施规划落实状况的动态监测以及规划落实中期、末期评估，把规划落实评估当作规划动态调整与制定新规划的依据。设立规划落实督查考核体系，学校科研管理部门负责本规划落实的督促检查事务，将本规划主要发展指标的落实状况纳入学校高质量发展考核的关键内容，定期开展督促检查</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p>
    <w:p w14:paraId="5E629B80">
      <w:pPr>
        <w:spacing w:line="560" w:lineRule="exact"/>
        <w:ind w:firstLine="0" w:firstLineChars="0"/>
        <w:rPr>
          <w:rFonts w:hint="default" w:ascii="Times New Roman" w:hAnsi="Times New Roman" w:eastAsia="方正仿宋_GB2312" w:cs="Times New Roman"/>
          <w:b w:val="0"/>
          <w:bCs w:val="0"/>
          <w:sz w:val="32"/>
          <w:szCs w:val="32"/>
          <w:lang w:val="en-US" w:eastAsia="zh-CN"/>
        </w:rPr>
      </w:pPr>
    </w:p>
    <w:p w14:paraId="1190B493">
      <w:pPr>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br w:type="page"/>
      </w:r>
    </w:p>
    <w:p w14:paraId="0A4D5996">
      <w:pPr>
        <w:spacing w:line="560" w:lineRule="exact"/>
        <w:rPr>
          <w:rFonts w:hint="default" w:ascii="Times New Roman" w:hAnsi="Times New Roman" w:cs="Times New Roman" w:eastAsiaTheme="majorEastAsia"/>
          <w:b/>
          <w:bCs/>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0EA0ABB">
      <w:pPr>
        <w:jc w:val="center"/>
        <w:rPr>
          <w:b/>
          <w:bCs/>
          <w:sz w:val="28"/>
          <w:szCs w:val="36"/>
        </w:rPr>
      </w:pPr>
      <w:r>
        <w:rPr>
          <w:rFonts w:hint="default"/>
          <w:b/>
          <w:bCs/>
          <w:sz w:val="28"/>
          <w:szCs w:val="36"/>
        </w:rPr>
        <w:t>附件</w:t>
      </w:r>
      <w:r>
        <w:rPr>
          <w:rFonts w:hint="eastAsia"/>
          <w:b/>
          <w:bCs/>
          <w:sz w:val="28"/>
          <w:szCs w:val="36"/>
          <w:lang w:val="en-US" w:eastAsia="zh-CN"/>
        </w:rPr>
        <w:t>1</w:t>
      </w:r>
      <w:r>
        <w:rPr>
          <w:rFonts w:hint="default"/>
          <w:b/>
          <w:bCs/>
          <w:sz w:val="28"/>
          <w:szCs w:val="36"/>
        </w:rPr>
        <w:t>：</w:t>
      </w:r>
      <w:r>
        <w:rPr>
          <w:rFonts w:hint="eastAsia"/>
          <w:b/>
          <w:bCs/>
          <w:sz w:val="28"/>
          <w:szCs w:val="36"/>
        </w:rPr>
        <w:t>“十五五”时期科学研究与社会服务主要指标</w:t>
      </w:r>
    </w:p>
    <w:tbl>
      <w:tblPr>
        <w:tblStyle w:val="8"/>
        <w:tblW w:w="13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12"/>
        <w:gridCol w:w="1564"/>
        <w:gridCol w:w="4852"/>
        <w:gridCol w:w="1824"/>
        <w:gridCol w:w="1836"/>
        <w:gridCol w:w="1836"/>
      </w:tblGrid>
      <w:tr w14:paraId="5996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blHeader/>
          <w:jc w:val="center"/>
        </w:trPr>
        <w:tc>
          <w:tcPr>
            <w:tcW w:w="932" w:type="dxa"/>
            <w:vAlign w:val="center"/>
          </w:tcPr>
          <w:p w14:paraId="5C77765E">
            <w:pPr>
              <w:snapToGrid w:val="0"/>
              <w:jc w:val="center"/>
              <w:rPr>
                <w:rFonts w:ascii="Times New Roman" w:hAnsi="Times New Roman" w:cs="Times New Roman"/>
                <w:b/>
                <w:bCs/>
                <w:sz w:val="24"/>
                <w:szCs w:val="32"/>
              </w:rPr>
            </w:pPr>
            <w:r>
              <w:rPr>
                <w:rFonts w:ascii="Times New Roman" w:hAnsi="Times New Roman" w:cs="Times New Roman"/>
                <w:b/>
                <w:bCs/>
                <w:sz w:val="24"/>
                <w:szCs w:val="32"/>
              </w:rPr>
              <w:t>类别</w:t>
            </w:r>
          </w:p>
        </w:tc>
        <w:tc>
          <w:tcPr>
            <w:tcW w:w="812" w:type="dxa"/>
            <w:vAlign w:val="center"/>
          </w:tcPr>
          <w:p w14:paraId="32DF7661">
            <w:pPr>
              <w:snapToGrid w:val="0"/>
              <w:jc w:val="center"/>
              <w:rPr>
                <w:rFonts w:ascii="Times New Roman" w:hAnsi="Times New Roman" w:cs="Times New Roman"/>
                <w:b/>
                <w:bCs/>
                <w:sz w:val="24"/>
                <w:szCs w:val="32"/>
              </w:rPr>
            </w:pPr>
            <w:r>
              <w:rPr>
                <w:rFonts w:ascii="Times New Roman" w:hAnsi="Times New Roman" w:cs="Times New Roman"/>
                <w:b/>
                <w:bCs/>
                <w:sz w:val="24"/>
                <w:szCs w:val="32"/>
              </w:rPr>
              <w:t>序号</w:t>
            </w:r>
          </w:p>
        </w:tc>
        <w:tc>
          <w:tcPr>
            <w:tcW w:w="1564" w:type="dxa"/>
            <w:vAlign w:val="center"/>
          </w:tcPr>
          <w:p w14:paraId="770D5C0C">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一级指标</w:t>
            </w:r>
          </w:p>
        </w:tc>
        <w:tc>
          <w:tcPr>
            <w:tcW w:w="4852" w:type="dxa"/>
            <w:vAlign w:val="center"/>
          </w:tcPr>
          <w:p w14:paraId="7F2586A8">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二级指标</w:t>
            </w:r>
          </w:p>
        </w:tc>
        <w:tc>
          <w:tcPr>
            <w:tcW w:w="1824" w:type="dxa"/>
            <w:vAlign w:val="center"/>
          </w:tcPr>
          <w:p w14:paraId="5CA163E2">
            <w:pPr>
              <w:snapToGrid w:val="0"/>
              <w:jc w:val="center"/>
              <w:rPr>
                <w:rFonts w:ascii="Times New Roman" w:hAnsi="Times New Roman" w:cs="Times New Roman"/>
                <w:b/>
                <w:bCs/>
                <w:sz w:val="24"/>
                <w:szCs w:val="32"/>
              </w:rPr>
            </w:pPr>
            <w:r>
              <w:rPr>
                <w:rFonts w:ascii="Times New Roman" w:hAnsi="Times New Roman" w:cs="Times New Roman"/>
                <w:b/>
                <w:bCs/>
                <w:sz w:val="24"/>
                <w:szCs w:val="32"/>
              </w:rPr>
              <w:t>2025年</w:t>
            </w:r>
          </w:p>
          <w:p w14:paraId="0EF543F2">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近五年</w:t>
            </w:r>
            <w:r>
              <w:rPr>
                <w:rFonts w:ascii="Times New Roman" w:hAnsi="Times New Roman" w:cs="Times New Roman"/>
                <w:b/>
                <w:bCs/>
                <w:sz w:val="24"/>
                <w:szCs w:val="32"/>
              </w:rPr>
              <w:t>现状</w:t>
            </w:r>
          </w:p>
        </w:tc>
        <w:tc>
          <w:tcPr>
            <w:tcW w:w="1836" w:type="dxa"/>
            <w:vAlign w:val="center"/>
          </w:tcPr>
          <w:p w14:paraId="49DAFB0B">
            <w:pPr>
              <w:snapToGrid w:val="0"/>
              <w:jc w:val="center"/>
              <w:rPr>
                <w:rFonts w:ascii="Times New Roman" w:hAnsi="Times New Roman" w:cs="Times New Roman"/>
                <w:b/>
                <w:bCs/>
                <w:sz w:val="24"/>
                <w:szCs w:val="32"/>
              </w:rPr>
            </w:pPr>
            <w:r>
              <w:rPr>
                <w:rFonts w:ascii="Times New Roman" w:hAnsi="Times New Roman" w:cs="Times New Roman"/>
                <w:b/>
                <w:bCs/>
                <w:sz w:val="24"/>
                <w:szCs w:val="32"/>
              </w:rPr>
              <w:t>2028年</w:t>
            </w:r>
          </w:p>
          <w:p w14:paraId="00D0B2A2">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近三年</w:t>
            </w:r>
            <w:r>
              <w:rPr>
                <w:rFonts w:ascii="Times New Roman" w:hAnsi="Times New Roman" w:cs="Times New Roman"/>
                <w:b/>
                <w:bCs/>
                <w:sz w:val="24"/>
                <w:szCs w:val="32"/>
              </w:rPr>
              <w:t>目标</w:t>
            </w:r>
          </w:p>
        </w:tc>
        <w:tc>
          <w:tcPr>
            <w:tcW w:w="1836" w:type="dxa"/>
            <w:vAlign w:val="center"/>
          </w:tcPr>
          <w:p w14:paraId="2E4A24A3">
            <w:pPr>
              <w:snapToGrid w:val="0"/>
              <w:jc w:val="center"/>
              <w:rPr>
                <w:rFonts w:ascii="Times New Roman" w:hAnsi="Times New Roman" w:cs="Times New Roman"/>
                <w:b/>
                <w:bCs/>
                <w:sz w:val="24"/>
                <w:szCs w:val="32"/>
              </w:rPr>
            </w:pPr>
            <w:r>
              <w:rPr>
                <w:rFonts w:ascii="Times New Roman" w:hAnsi="Times New Roman" w:cs="Times New Roman"/>
                <w:b/>
                <w:bCs/>
                <w:sz w:val="24"/>
                <w:szCs w:val="32"/>
              </w:rPr>
              <w:t>2030年</w:t>
            </w:r>
          </w:p>
          <w:p w14:paraId="39FDD4C8">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近五年</w:t>
            </w:r>
            <w:r>
              <w:rPr>
                <w:rFonts w:ascii="Times New Roman" w:hAnsi="Times New Roman" w:cs="Times New Roman"/>
                <w:b/>
                <w:bCs/>
                <w:sz w:val="24"/>
                <w:szCs w:val="32"/>
              </w:rPr>
              <w:t>目标</w:t>
            </w:r>
          </w:p>
        </w:tc>
      </w:tr>
      <w:tr w14:paraId="26A0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restart"/>
            <w:vAlign w:val="center"/>
          </w:tcPr>
          <w:p w14:paraId="65BFDB39">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关键性指标-</w:t>
            </w:r>
          </w:p>
          <w:p w14:paraId="480B6BA2">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更大申博</w:t>
            </w:r>
          </w:p>
        </w:tc>
        <w:tc>
          <w:tcPr>
            <w:tcW w:w="812" w:type="dxa"/>
            <w:vAlign w:val="center"/>
          </w:tcPr>
          <w:p w14:paraId="4329FEAF">
            <w:pPr>
              <w:snapToGrid w:val="0"/>
              <w:jc w:val="center"/>
              <w:rPr>
                <w:rFonts w:ascii="Times New Roman" w:hAnsi="Times New Roman" w:cs="Times New Roman"/>
                <w:sz w:val="24"/>
                <w:szCs w:val="32"/>
              </w:rPr>
            </w:pPr>
            <w:r>
              <w:rPr>
                <w:rFonts w:hint="eastAsia" w:ascii="Times New Roman" w:hAnsi="Times New Roman" w:cs="Times New Roman"/>
                <w:sz w:val="24"/>
                <w:szCs w:val="32"/>
              </w:rPr>
              <w:t>1</w:t>
            </w:r>
          </w:p>
        </w:tc>
        <w:tc>
          <w:tcPr>
            <w:tcW w:w="1564" w:type="dxa"/>
            <w:vMerge w:val="restart"/>
            <w:vAlign w:val="center"/>
          </w:tcPr>
          <w:p w14:paraId="1BC8EDCA">
            <w:pPr>
              <w:snapToGrid w:val="0"/>
              <w:jc w:val="center"/>
              <w:rPr>
                <w:rFonts w:ascii="Times New Roman" w:hAnsi="Times New Roman" w:cs="Times New Roman"/>
                <w:sz w:val="24"/>
                <w:szCs w:val="32"/>
              </w:rPr>
            </w:pPr>
            <w:r>
              <w:rPr>
                <w:rFonts w:hint="eastAsia" w:ascii="Times New Roman" w:hAnsi="Times New Roman" w:cs="Times New Roman"/>
                <w:sz w:val="24"/>
                <w:szCs w:val="32"/>
              </w:rPr>
              <w:t>科技奖励</w:t>
            </w:r>
          </w:p>
        </w:tc>
        <w:tc>
          <w:tcPr>
            <w:tcW w:w="4852" w:type="dxa"/>
            <w:vAlign w:val="center"/>
          </w:tcPr>
          <w:p w14:paraId="6D1A8B2E">
            <w:pPr>
              <w:snapToGrid w:val="0"/>
              <w:jc w:val="center"/>
              <w:rPr>
                <w:rFonts w:ascii="Times New Roman" w:hAnsi="Times New Roman" w:cs="Times New Roman"/>
                <w:sz w:val="24"/>
                <w:szCs w:val="32"/>
              </w:rPr>
            </w:pPr>
            <w:r>
              <w:rPr>
                <w:rFonts w:ascii="Times New Roman" w:hAnsi="Times New Roman" w:cs="Times New Roman"/>
                <w:sz w:val="24"/>
                <w:szCs w:val="32"/>
              </w:rPr>
              <w:t>省部级以上奖励</w:t>
            </w:r>
            <w:r>
              <w:rPr>
                <w:rFonts w:hint="eastAsia" w:ascii="Times New Roman" w:hAnsi="Times New Roman" w:cs="Times New Roman"/>
                <w:sz w:val="24"/>
                <w:szCs w:val="32"/>
              </w:rPr>
              <w:t>数</w:t>
            </w:r>
          </w:p>
        </w:tc>
        <w:tc>
          <w:tcPr>
            <w:tcW w:w="1824" w:type="dxa"/>
            <w:vAlign w:val="center"/>
          </w:tcPr>
          <w:p w14:paraId="0162739B">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23</w:t>
            </w:r>
          </w:p>
        </w:tc>
        <w:tc>
          <w:tcPr>
            <w:tcW w:w="1836" w:type="dxa"/>
            <w:vAlign w:val="center"/>
          </w:tcPr>
          <w:p w14:paraId="3021A3A9">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20</w:t>
            </w:r>
          </w:p>
        </w:tc>
        <w:tc>
          <w:tcPr>
            <w:tcW w:w="1836" w:type="dxa"/>
            <w:vAlign w:val="center"/>
          </w:tcPr>
          <w:p w14:paraId="073F7F55">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25</w:t>
            </w:r>
          </w:p>
        </w:tc>
      </w:tr>
      <w:tr w14:paraId="01EA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724AB2E0">
            <w:pPr>
              <w:snapToGrid w:val="0"/>
              <w:jc w:val="center"/>
              <w:rPr>
                <w:rFonts w:ascii="Times New Roman" w:hAnsi="Times New Roman" w:cs="Times New Roman"/>
                <w:b/>
                <w:bCs/>
                <w:sz w:val="24"/>
                <w:szCs w:val="32"/>
              </w:rPr>
            </w:pPr>
          </w:p>
        </w:tc>
        <w:tc>
          <w:tcPr>
            <w:tcW w:w="812" w:type="dxa"/>
            <w:vAlign w:val="center"/>
          </w:tcPr>
          <w:p w14:paraId="3223FCD3">
            <w:pPr>
              <w:snapToGrid w:val="0"/>
              <w:jc w:val="center"/>
              <w:rPr>
                <w:rFonts w:ascii="Times New Roman" w:hAnsi="Times New Roman" w:cs="Times New Roman"/>
                <w:sz w:val="24"/>
                <w:szCs w:val="32"/>
              </w:rPr>
            </w:pPr>
            <w:r>
              <w:rPr>
                <w:rFonts w:hint="eastAsia" w:ascii="Times New Roman" w:hAnsi="Times New Roman" w:cs="Times New Roman"/>
                <w:sz w:val="24"/>
                <w:szCs w:val="32"/>
              </w:rPr>
              <w:t>2</w:t>
            </w:r>
          </w:p>
        </w:tc>
        <w:tc>
          <w:tcPr>
            <w:tcW w:w="1564" w:type="dxa"/>
            <w:vMerge w:val="continue"/>
            <w:vAlign w:val="center"/>
          </w:tcPr>
          <w:p w14:paraId="23905E84">
            <w:pPr>
              <w:snapToGrid w:val="0"/>
              <w:jc w:val="center"/>
              <w:rPr>
                <w:rFonts w:ascii="Times New Roman" w:hAnsi="Times New Roman" w:cs="Times New Roman"/>
                <w:sz w:val="24"/>
                <w:szCs w:val="32"/>
              </w:rPr>
            </w:pPr>
          </w:p>
        </w:tc>
        <w:tc>
          <w:tcPr>
            <w:tcW w:w="4852" w:type="dxa"/>
            <w:vAlign w:val="center"/>
          </w:tcPr>
          <w:p w14:paraId="21EA4E0E">
            <w:pPr>
              <w:snapToGrid w:val="0"/>
              <w:jc w:val="center"/>
              <w:rPr>
                <w:rFonts w:ascii="Times New Roman" w:hAnsi="Times New Roman" w:cs="Times New Roman"/>
                <w:sz w:val="24"/>
                <w:szCs w:val="32"/>
              </w:rPr>
            </w:pPr>
            <w:r>
              <w:rPr>
                <w:rFonts w:hint="eastAsia" w:ascii="Times New Roman" w:hAnsi="Times New Roman" w:cs="Times New Roman"/>
                <w:sz w:val="24"/>
                <w:szCs w:val="32"/>
              </w:rPr>
              <w:t>其中：</w:t>
            </w:r>
            <w:r>
              <w:rPr>
                <w:rFonts w:ascii="Times New Roman" w:hAnsi="Times New Roman" w:cs="Times New Roman"/>
                <w:sz w:val="24"/>
                <w:szCs w:val="32"/>
              </w:rPr>
              <w:t>国家级奖励或省级最高奖励</w:t>
            </w:r>
            <w:r>
              <w:rPr>
                <w:rFonts w:hint="eastAsia" w:ascii="Times New Roman" w:hAnsi="Times New Roman" w:cs="Times New Roman"/>
                <w:sz w:val="24"/>
                <w:szCs w:val="32"/>
              </w:rPr>
              <w:t>（前5名）</w:t>
            </w:r>
          </w:p>
        </w:tc>
        <w:tc>
          <w:tcPr>
            <w:tcW w:w="1824" w:type="dxa"/>
            <w:vAlign w:val="center"/>
          </w:tcPr>
          <w:p w14:paraId="2BEA6A8E">
            <w:pPr>
              <w:snapToGrid w:val="0"/>
              <w:jc w:val="center"/>
              <w:rPr>
                <w:rFonts w:ascii="Times New Roman" w:hAnsi="Times New Roman" w:cs="Times New Roman"/>
                <w:sz w:val="24"/>
                <w:szCs w:val="32"/>
              </w:rPr>
            </w:pPr>
            <w:r>
              <w:rPr>
                <w:rFonts w:hint="eastAsia" w:ascii="Times New Roman" w:hAnsi="Times New Roman" w:cs="Times New Roman"/>
                <w:sz w:val="24"/>
                <w:szCs w:val="32"/>
              </w:rPr>
              <w:t>1</w:t>
            </w:r>
          </w:p>
        </w:tc>
        <w:tc>
          <w:tcPr>
            <w:tcW w:w="1836" w:type="dxa"/>
            <w:vAlign w:val="center"/>
          </w:tcPr>
          <w:p w14:paraId="48D0708D">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p>
        </w:tc>
        <w:tc>
          <w:tcPr>
            <w:tcW w:w="1836" w:type="dxa"/>
            <w:vAlign w:val="center"/>
          </w:tcPr>
          <w:p w14:paraId="71D8F52A">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p>
        </w:tc>
      </w:tr>
      <w:tr w14:paraId="792D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198C9EDB">
            <w:pPr>
              <w:snapToGrid w:val="0"/>
              <w:jc w:val="center"/>
              <w:rPr>
                <w:rFonts w:ascii="Times New Roman" w:hAnsi="Times New Roman" w:cs="Times New Roman"/>
                <w:b/>
                <w:bCs/>
                <w:sz w:val="24"/>
                <w:szCs w:val="32"/>
              </w:rPr>
            </w:pPr>
          </w:p>
        </w:tc>
        <w:tc>
          <w:tcPr>
            <w:tcW w:w="812" w:type="dxa"/>
            <w:vAlign w:val="center"/>
          </w:tcPr>
          <w:p w14:paraId="454AC225">
            <w:pPr>
              <w:snapToGrid w:val="0"/>
              <w:jc w:val="center"/>
              <w:rPr>
                <w:rFonts w:ascii="Times New Roman" w:hAnsi="Times New Roman" w:cs="Times New Roman"/>
                <w:sz w:val="24"/>
                <w:szCs w:val="32"/>
              </w:rPr>
            </w:pPr>
            <w:r>
              <w:rPr>
                <w:rFonts w:hint="eastAsia" w:ascii="Times New Roman" w:hAnsi="Times New Roman" w:cs="Times New Roman"/>
                <w:sz w:val="24"/>
                <w:szCs w:val="32"/>
              </w:rPr>
              <w:t>3</w:t>
            </w:r>
          </w:p>
        </w:tc>
        <w:tc>
          <w:tcPr>
            <w:tcW w:w="1564" w:type="dxa"/>
            <w:vAlign w:val="center"/>
          </w:tcPr>
          <w:p w14:paraId="3AFE730B">
            <w:pPr>
              <w:snapToGrid w:val="0"/>
              <w:jc w:val="center"/>
              <w:rPr>
                <w:rFonts w:ascii="Times New Roman" w:hAnsi="Times New Roman" w:cs="Times New Roman"/>
                <w:sz w:val="24"/>
                <w:szCs w:val="32"/>
              </w:rPr>
            </w:pPr>
            <w:r>
              <w:rPr>
                <w:rFonts w:hint="eastAsia" w:ascii="Times New Roman" w:hAnsi="Times New Roman" w:cs="Times New Roman"/>
                <w:sz w:val="24"/>
                <w:szCs w:val="32"/>
              </w:rPr>
              <w:t>科研项目</w:t>
            </w:r>
          </w:p>
        </w:tc>
        <w:tc>
          <w:tcPr>
            <w:tcW w:w="4852" w:type="dxa"/>
            <w:vAlign w:val="center"/>
          </w:tcPr>
          <w:p w14:paraId="5926359F">
            <w:pPr>
              <w:snapToGrid w:val="0"/>
              <w:jc w:val="center"/>
              <w:rPr>
                <w:rFonts w:ascii="Times New Roman" w:hAnsi="Times New Roman" w:cs="Times New Roman"/>
                <w:sz w:val="24"/>
                <w:szCs w:val="32"/>
              </w:rPr>
            </w:pPr>
            <w:r>
              <w:rPr>
                <w:rFonts w:ascii="Times New Roman" w:hAnsi="Times New Roman" w:cs="Times New Roman"/>
                <w:sz w:val="24"/>
                <w:szCs w:val="32"/>
              </w:rPr>
              <w:t>科研</w:t>
            </w:r>
            <w:r>
              <w:rPr>
                <w:rFonts w:hint="eastAsia" w:ascii="Times New Roman" w:hAnsi="Times New Roman" w:cs="Times New Roman"/>
                <w:sz w:val="24"/>
                <w:szCs w:val="32"/>
              </w:rPr>
              <w:t>师均经费（万元）</w:t>
            </w:r>
          </w:p>
        </w:tc>
        <w:tc>
          <w:tcPr>
            <w:tcW w:w="1824" w:type="dxa"/>
            <w:vAlign w:val="center"/>
          </w:tcPr>
          <w:p w14:paraId="04CB8D78">
            <w:pPr>
              <w:snapToGrid w:val="0"/>
              <w:jc w:val="center"/>
              <w:rPr>
                <w:rFonts w:ascii="Times New Roman" w:hAnsi="Times New Roman" w:cs="Times New Roman"/>
                <w:sz w:val="24"/>
                <w:szCs w:val="32"/>
              </w:rPr>
            </w:pPr>
            <w:r>
              <w:rPr>
                <w:rFonts w:hint="eastAsia" w:ascii="Times New Roman" w:hAnsi="Times New Roman" w:cs="Times New Roman"/>
                <w:sz w:val="24"/>
                <w:szCs w:val="32"/>
              </w:rPr>
              <w:t>7.77</w:t>
            </w:r>
          </w:p>
        </w:tc>
        <w:tc>
          <w:tcPr>
            <w:tcW w:w="1836" w:type="dxa"/>
            <w:vAlign w:val="center"/>
          </w:tcPr>
          <w:p w14:paraId="191C2766">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w:t>
            </w:r>
          </w:p>
        </w:tc>
        <w:tc>
          <w:tcPr>
            <w:tcW w:w="1836" w:type="dxa"/>
            <w:vAlign w:val="center"/>
          </w:tcPr>
          <w:p w14:paraId="2A9AA3D7">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w:t>
            </w:r>
          </w:p>
        </w:tc>
      </w:tr>
      <w:tr w14:paraId="6A6F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25DE549E">
            <w:pPr>
              <w:snapToGrid w:val="0"/>
              <w:jc w:val="center"/>
              <w:rPr>
                <w:rFonts w:ascii="Times New Roman" w:hAnsi="Times New Roman" w:cs="Times New Roman"/>
                <w:b/>
                <w:bCs/>
                <w:sz w:val="24"/>
                <w:szCs w:val="32"/>
              </w:rPr>
            </w:pPr>
          </w:p>
        </w:tc>
        <w:tc>
          <w:tcPr>
            <w:tcW w:w="812" w:type="dxa"/>
            <w:vAlign w:val="center"/>
          </w:tcPr>
          <w:p w14:paraId="6D6FF7B3">
            <w:pPr>
              <w:snapToGrid w:val="0"/>
              <w:jc w:val="center"/>
              <w:rPr>
                <w:rFonts w:ascii="Times New Roman" w:hAnsi="Times New Roman" w:cs="Times New Roman"/>
                <w:sz w:val="24"/>
                <w:szCs w:val="32"/>
              </w:rPr>
            </w:pPr>
            <w:r>
              <w:rPr>
                <w:rFonts w:hint="eastAsia" w:ascii="Times New Roman" w:hAnsi="Times New Roman" w:cs="Times New Roman"/>
                <w:sz w:val="24"/>
                <w:szCs w:val="32"/>
              </w:rPr>
              <w:t>4</w:t>
            </w:r>
          </w:p>
        </w:tc>
        <w:tc>
          <w:tcPr>
            <w:tcW w:w="1564" w:type="dxa"/>
            <w:vAlign w:val="center"/>
          </w:tcPr>
          <w:p w14:paraId="70211A47">
            <w:pPr>
              <w:snapToGrid w:val="0"/>
              <w:jc w:val="center"/>
              <w:rPr>
                <w:rFonts w:ascii="Times New Roman" w:hAnsi="Times New Roman" w:cs="Times New Roman"/>
                <w:sz w:val="24"/>
                <w:szCs w:val="32"/>
              </w:rPr>
            </w:pPr>
            <w:r>
              <w:rPr>
                <w:rFonts w:hint="eastAsia" w:ascii="Times New Roman" w:hAnsi="Times New Roman" w:cs="Times New Roman"/>
                <w:sz w:val="24"/>
                <w:szCs w:val="32"/>
              </w:rPr>
              <w:t>社会服务</w:t>
            </w:r>
          </w:p>
        </w:tc>
        <w:tc>
          <w:tcPr>
            <w:tcW w:w="4852" w:type="dxa"/>
            <w:vAlign w:val="center"/>
          </w:tcPr>
          <w:p w14:paraId="2DB7CCEB">
            <w:pPr>
              <w:snapToGrid w:val="0"/>
              <w:jc w:val="center"/>
              <w:rPr>
                <w:rFonts w:ascii="Times New Roman" w:hAnsi="Times New Roman" w:cs="Times New Roman"/>
                <w:sz w:val="24"/>
                <w:szCs w:val="32"/>
              </w:rPr>
            </w:pPr>
            <w:r>
              <w:rPr>
                <w:rFonts w:hint="eastAsia" w:ascii="Times New Roman" w:hAnsi="Times New Roman" w:cs="Times New Roman"/>
                <w:sz w:val="24"/>
                <w:szCs w:val="32"/>
              </w:rPr>
              <w:t>与企业</w:t>
            </w:r>
            <w:r>
              <w:rPr>
                <w:rFonts w:ascii="Times New Roman" w:hAnsi="Times New Roman" w:cs="Times New Roman"/>
                <w:sz w:val="24"/>
                <w:szCs w:val="32"/>
              </w:rPr>
              <w:t>共建校企研发中心</w:t>
            </w:r>
          </w:p>
        </w:tc>
        <w:tc>
          <w:tcPr>
            <w:tcW w:w="1824" w:type="dxa"/>
            <w:vAlign w:val="center"/>
          </w:tcPr>
          <w:p w14:paraId="166FC3A7">
            <w:pPr>
              <w:snapToGrid w:val="0"/>
              <w:jc w:val="center"/>
              <w:rPr>
                <w:rFonts w:ascii="Times New Roman" w:hAnsi="Times New Roman" w:cs="Times New Roman"/>
                <w:sz w:val="24"/>
                <w:szCs w:val="32"/>
              </w:rPr>
            </w:pPr>
            <w:r>
              <w:rPr>
                <w:rFonts w:hint="eastAsia" w:ascii="Times New Roman" w:hAnsi="Times New Roman" w:cs="Times New Roman"/>
                <w:sz w:val="24"/>
                <w:szCs w:val="32"/>
              </w:rPr>
              <w:t>1</w:t>
            </w:r>
          </w:p>
        </w:tc>
        <w:tc>
          <w:tcPr>
            <w:tcW w:w="1836" w:type="dxa"/>
            <w:vAlign w:val="center"/>
          </w:tcPr>
          <w:p w14:paraId="385B9406">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w:t>
            </w:r>
          </w:p>
        </w:tc>
        <w:tc>
          <w:tcPr>
            <w:tcW w:w="1836" w:type="dxa"/>
            <w:vAlign w:val="center"/>
          </w:tcPr>
          <w:p w14:paraId="1AF56139">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20</w:t>
            </w:r>
          </w:p>
        </w:tc>
      </w:tr>
      <w:tr w14:paraId="542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restart"/>
            <w:vAlign w:val="center"/>
          </w:tcPr>
          <w:p w14:paraId="536671A3">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发展性指标-</w:t>
            </w:r>
          </w:p>
          <w:p w14:paraId="5A48C08D">
            <w:pPr>
              <w:snapToGrid w:val="0"/>
              <w:jc w:val="center"/>
              <w:rPr>
                <w:rFonts w:ascii="Times New Roman" w:hAnsi="Times New Roman" w:cs="Times New Roman"/>
                <w:b/>
                <w:bCs/>
                <w:sz w:val="24"/>
                <w:szCs w:val="32"/>
              </w:rPr>
            </w:pPr>
            <w:r>
              <w:rPr>
                <w:rFonts w:hint="eastAsia" w:ascii="Times New Roman" w:hAnsi="Times New Roman" w:cs="Times New Roman"/>
                <w:b/>
                <w:bCs/>
                <w:sz w:val="24"/>
                <w:szCs w:val="32"/>
              </w:rPr>
              <w:t>一流海洋大学</w:t>
            </w:r>
          </w:p>
        </w:tc>
        <w:tc>
          <w:tcPr>
            <w:tcW w:w="812" w:type="dxa"/>
            <w:vAlign w:val="center"/>
          </w:tcPr>
          <w:p w14:paraId="085683A7">
            <w:pPr>
              <w:snapToGrid w:val="0"/>
              <w:jc w:val="center"/>
              <w:rPr>
                <w:rFonts w:ascii="Times New Roman" w:hAnsi="Times New Roman" w:cs="Times New Roman"/>
                <w:sz w:val="24"/>
                <w:szCs w:val="32"/>
              </w:rPr>
            </w:pPr>
            <w:r>
              <w:rPr>
                <w:rFonts w:hint="eastAsia" w:ascii="Times New Roman" w:hAnsi="Times New Roman" w:cs="Times New Roman"/>
                <w:sz w:val="24"/>
                <w:szCs w:val="32"/>
              </w:rPr>
              <w:t>1</w:t>
            </w:r>
          </w:p>
        </w:tc>
        <w:tc>
          <w:tcPr>
            <w:tcW w:w="1564" w:type="dxa"/>
            <w:vMerge w:val="restart"/>
            <w:vAlign w:val="center"/>
          </w:tcPr>
          <w:p w14:paraId="49FACC17">
            <w:pPr>
              <w:snapToGrid w:val="0"/>
              <w:jc w:val="center"/>
              <w:rPr>
                <w:rFonts w:ascii="Times New Roman" w:hAnsi="Times New Roman" w:cs="Times New Roman"/>
                <w:sz w:val="24"/>
                <w:szCs w:val="32"/>
              </w:rPr>
            </w:pPr>
            <w:r>
              <w:rPr>
                <w:rFonts w:hint="eastAsia" w:ascii="Times New Roman" w:hAnsi="Times New Roman" w:cs="Times New Roman"/>
                <w:sz w:val="24"/>
                <w:szCs w:val="32"/>
              </w:rPr>
              <w:t>科研项目</w:t>
            </w:r>
          </w:p>
        </w:tc>
        <w:tc>
          <w:tcPr>
            <w:tcW w:w="4852" w:type="dxa"/>
            <w:vAlign w:val="center"/>
          </w:tcPr>
          <w:p w14:paraId="06265EEE">
            <w:pPr>
              <w:snapToGrid w:val="0"/>
              <w:jc w:val="center"/>
              <w:rPr>
                <w:rFonts w:ascii="Times New Roman" w:hAnsi="Times New Roman" w:cs="Times New Roman"/>
                <w:sz w:val="24"/>
                <w:szCs w:val="32"/>
              </w:rPr>
            </w:pPr>
            <w:r>
              <w:rPr>
                <w:rFonts w:hint="eastAsia" w:ascii="Times New Roman" w:hAnsi="Times New Roman" w:cs="Times New Roman"/>
                <w:sz w:val="24"/>
                <w:szCs w:val="32"/>
              </w:rPr>
              <w:t>纵向项目立项金额（万元）</w:t>
            </w:r>
          </w:p>
        </w:tc>
        <w:tc>
          <w:tcPr>
            <w:tcW w:w="1824" w:type="dxa"/>
            <w:vAlign w:val="center"/>
          </w:tcPr>
          <w:p w14:paraId="51E110C7">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26094.6</w:t>
            </w:r>
          </w:p>
        </w:tc>
        <w:tc>
          <w:tcPr>
            <w:tcW w:w="1836" w:type="dxa"/>
            <w:vAlign w:val="center"/>
          </w:tcPr>
          <w:p w14:paraId="47C61B8B">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18000</w:t>
            </w:r>
          </w:p>
        </w:tc>
        <w:tc>
          <w:tcPr>
            <w:tcW w:w="1836" w:type="dxa"/>
            <w:vAlign w:val="center"/>
          </w:tcPr>
          <w:p w14:paraId="04A4F7AE">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35000</w:t>
            </w:r>
          </w:p>
        </w:tc>
      </w:tr>
      <w:tr w14:paraId="65E8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1707C0E8">
            <w:pPr>
              <w:snapToGrid w:val="0"/>
              <w:jc w:val="center"/>
              <w:rPr>
                <w:rFonts w:ascii="Times New Roman" w:hAnsi="Times New Roman" w:cs="Times New Roman"/>
                <w:sz w:val="24"/>
                <w:szCs w:val="32"/>
              </w:rPr>
            </w:pPr>
          </w:p>
        </w:tc>
        <w:tc>
          <w:tcPr>
            <w:tcW w:w="812" w:type="dxa"/>
            <w:vAlign w:val="center"/>
          </w:tcPr>
          <w:p w14:paraId="7A1E1FDB">
            <w:pPr>
              <w:snapToGrid w:val="0"/>
              <w:jc w:val="center"/>
              <w:rPr>
                <w:rFonts w:ascii="Times New Roman" w:hAnsi="Times New Roman" w:cs="Times New Roman"/>
                <w:sz w:val="24"/>
                <w:szCs w:val="32"/>
              </w:rPr>
            </w:pPr>
            <w:r>
              <w:rPr>
                <w:rFonts w:hint="eastAsia" w:ascii="Times New Roman" w:hAnsi="Times New Roman" w:cs="Times New Roman"/>
                <w:sz w:val="24"/>
                <w:szCs w:val="32"/>
              </w:rPr>
              <w:t>2</w:t>
            </w:r>
          </w:p>
        </w:tc>
        <w:tc>
          <w:tcPr>
            <w:tcW w:w="1564" w:type="dxa"/>
            <w:vMerge w:val="continue"/>
            <w:vAlign w:val="center"/>
          </w:tcPr>
          <w:p w14:paraId="59B11115">
            <w:pPr>
              <w:snapToGrid w:val="0"/>
              <w:jc w:val="center"/>
              <w:rPr>
                <w:rFonts w:ascii="Times New Roman" w:hAnsi="Times New Roman" w:cs="Times New Roman"/>
                <w:sz w:val="24"/>
                <w:szCs w:val="32"/>
              </w:rPr>
            </w:pPr>
          </w:p>
        </w:tc>
        <w:tc>
          <w:tcPr>
            <w:tcW w:w="4852" w:type="dxa"/>
            <w:vAlign w:val="center"/>
          </w:tcPr>
          <w:p w14:paraId="33FEC2FD">
            <w:pPr>
              <w:snapToGrid w:val="0"/>
              <w:jc w:val="center"/>
              <w:rPr>
                <w:rFonts w:ascii="Times New Roman" w:hAnsi="Times New Roman" w:cs="Times New Roman"/>
                <w:sz w:val="24"/>
                <w:szCs w:val="32"/>
              </w:rPr>
            </w:pPr>
            <w:r>
              <w:rPr>
                <w:rFonts w:hint="eastAsia" w:ascii="Times New Roman" w:hAnsi="Times New Roman" w:cs="Times New Roman"/>
                <w:sz w:val="24"/>
                <w:szCs w:val="32"/>
              </w:rPr>
              <w:t>国家级项目立项数</w:t>
            </w:r>
          </w:p>
        </w:tc>
        <w:tc>
          <w:tcPr>
            <w:tcW w:w="1824" w:type="dxa"/>
            <w:vAlign w:val="center"/>
          </w:tcPr>
          <w:p w14:paraId="02DD4FEB">
            <w:pPr>
              <w:snapToGrid w:val="0"/>
              <w:jc w:val="center"/>
              <w:rPr>
                <w:rFonts w:ascii="Times New Roman" w:hAnsi="Times New Roman" w:cs="Times New Roman"/>
                <w:sz w:val="24"/>
                <w:szCs w:val="32"/>
              </w:rPr>
            </w:pPr>
            <w:r>
              <w:rPr>
                <w:rFonts w:hint="eastAsia" w:ascii="Times New Roman" w:hAnsi="Times New Roman" w:cs="Times New Roman"/>
                <w:sz w:val="24"/>
                <w:szCs w:val="32"/>
              </w:rPr>
              <w:t>32</w:t>
            </w:r>
          </w:p>
        </w:tc>
        <w:tc>
          <w:tcPr>
            <w:tcW w:w="1836" w:type="dxa"/>
            <w:vAlign w:val="center"/>
          </w:tcPr>
          <w:p w14:paraId="00C0B48B">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40</w:t>
            </w:r>
          </w:p>
        </w:tc>
        <w:tc>
          <w:tcPr>
            <w:tcW w:w="1836" w:type="dxa"/>
            <w:vAlign w:val="center"/>
          </w:tcPr>
          <w:p w14:paraId="7417FBD1">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100</w:t>
            </w:r>
          </w:p>
        </w:tc>
      </w:tr>
      <w:tr w14:paraId="791E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64DD5476">
            <w:pPr>
              <w:snapToGrid w:val="0"/>
              <w:jc w:val="center"/>
              <w:rPr>
                <w:rFonts w:ascii="Times New Roman" w:hAnsi="Times New Roman" w:cs="Times New Roman"/>
                <w:sz w:val="24"/>
                <w:szCs w:val="32"/>
              </w:rPr>
            </w:pPr>
          </w:p>
        </w:tc>
        <w:tc>
          <w:tcPr>
            <w:tcW w:w="812" w:type="dxa"/>
            <w:vAlign w:val="center"/>
          </w:tcPr>
          <w:p w14:paraId="4BB07EF9">
            <w:pPr>
              <w:snapToGrid w:val="0"/>
              <w:jc w:val="center"/>
              <w:rPr>
                <w:rFonts w:ascii="Times New Roman" w:hAnsi="Times New Roman" w:cs="Times New Roman"/>
                <w:sz w:val="24"/>
                <w:szCs w:val="32"/>
              </w:rPr>
            </w:pPr>
            <w:r>
              <w:rPr>
                <w:rFonts w:hint="eastAsia" w:ascii="Times New Roman" w:hAnsi="Times New Roman" w:cs="Times New Roman"/>
                <w:sz w:val="24"/>
                <w:szCs w:val="32"/>
              </w:rPr>
              <w:t>3</w:t>
            </w:r>
          </w:p>
        </w:tc>
        <w:tc>
          <w:tcPr>
            <w:tcW w:w="1564" w:type="dxa"/>
            <w:vMerge w:val="continue"/>
            <w:vAlign w:val="center"/>
          </w:tcPr>
          <w:p w14:paraId="21D9F940">
            <w:pPr>
              <w:snapToGrid w:val="0"/>
              <w:jc w:val="center"/>
              <w:rPr>
                <w:rFonts w:ascii="Times New Roman" w:hAnsi="Times New Roman" w:cs="Times New Roman"/>
                <w:sz w:val="24"/>
                <w:szCs w:val="32"/>
              </w:rPr>
            </w:pPr>
          </w:p>
        </w:tc>
        <w:tc>
          <w:tcPr>
            <w:tcW w:w="4852" w:type="dxa"/>
            <w:vAlign w:val="center"/>
          </w:tcPr>
          <w:p w14:paraId="7AFF2195">
            <w:pPr>
              <w:snapToGrid w:val="0"/>
              <w:jc w:val="center"/>
              <w:rPr>
                <w:rFonts w:ascii="Times New Roman" w:hAnsi="Times New Roman" w:cs="Times New Roman"/>
                <w:sz w:val="24"/>
                <w:szCs w:val="32"/>
              </w:rPr>
            </w:pPr>
            <w:r>
              <w:rPr>
                <w:rFonts w:hint="eastAsia" w:ascii="Times New Roman" w:hAnsi="Times New Roman" w:cs="Times New Roman"/>
                <w:sz w:val="24"/>
                <w:szCs w:val="32"/>
              </w:rPr>
              <w:t>其中：主持国家重大重点项目（课题）数</w:t>
            </w:r>
          </w:p>
        </w:tc>
        <w:tc>
          <w:tcPr>
            <w:tcW w:w="1824" w:type="dxa"/>
            <w:vAlign w:val="center"/>
          </w:tcPr>
          <w:p w14:paraId="103F688C">
            <w:pPr>
              <w:snapToGrid w:val="0"/>
              <w:jc w:val="center"/>
              <w:rPr>
                <w:rFonts w:ascii="Times New Roman" w:hAnsi="Times New Roman" w:cs="Times New Roman"/>
                <w:sz w:val="24"/>
                <w:szCs w:val="32"/>
              </w:rPr>
            </w:pPr>
            <w:r>
              <w:rPr>
                <w:rFonts w:hint="eastAsia" w:ascii="Times New Roman" w:hAnsi="Times New Roman" w:cs="Times New Roman"/>
                <w:sz w:val="24"/>
                <w:szCs w:val="32"/>
              </w:rPr>
              <w:t>1</w:t>
            </w:r>
          </w:p>
        </w:tc>
        <w:tc>
          <w:tcPr>
            <w:tcW w:w="1836" w:type="dxa"/>
            <w:vAlign w:val="center"/>
          </w:tcPr>
          <w:p w14:paraId="2865D66E">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p>
        </w:tc>
        <w:tc>
          <w:tcPr>
            <w:tcW w:w="1836" w:type="dxa"/>
            <w:vAlign w:val="center"/>
          </w:tcPr>
          <w:p w14:paraId="69D2358B">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p>
        </w:tc>
      </w:tr>
      <w:tr w14:paraId="58C2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5CB9E69D">
            <w:pPr>
              <w:snapToGrid w:val="0"/>
              <w:jc w:val="center"/>
              <w:rPr>
                <w:rFonts w:ascii="Times New Roman" w:hAnsi="Times New Roman" w:cs="Times New Roman"/>
                <w:sz w:val="24"/>
                <w:szCs w:val="32"/>
              </w:rPr>
            </w:pPr>
          </w:p>
        </w:tc>
        <w:tc>
          <w:tcPr>
            <w:tcW w:w="812" w:type="dxa"/>
            <w:vAlign w:val="center"/>
          </w:tcPr>
          <w:p w14:paraId="7DD9C853">
            <w:pPr>
              <w:snapToGrid w:val="0"/>
              <w:jc w:val="center"/>
              <w:rPr>
                <w:rFonts w:ascii="Times New Roman" w:hAnsi="Times New Roman" w:cs="Times New Roman"/>
                <w:sz w:val="24"/>
                <w:szCs w:val="32"/>
              </w:rPr>
            </w:pPr>
            <w:r>
              <w:rPr>
                <w:rFonts w:hint="eastAsia" w:ascii="Times New Roman" w:hAnsi="Times New Roman" w:cs="Times New Roman"/>
                <w:sz w:val="24"/>
                <w:szCs w:val="32"/>
              </w:rPr>
              <w:t>4</w:t>
            </w:r>
          </w:p>
        </w:tc>
        <w:tc>
          <w:tcPr>
            <w:tcW w:w="1564" w:type="dxa"/>
            <w:vMerge w:val="continue"/>
            <w:vAlign w:val="center"/>
          </w:tcPr>
          <w:p w14:paraId="41DCB305">
            <w:pPr>
              <w:snapToGrid w:val="0"/>
              <w:jc w:val="center"/>
              <w:rPr>
                <w:rFonts w:ascii="Times New Roman" w:hAnsi="Times New Roman" w:cs="Times New Roman"/>
                <w:sz w:val="24"/>
                <w:szCs w:val="32"/>
              </w:rPr>
            </w:pPr>
          </w:p>
        </w:tc>
        <w:tc>
          <w:tcPr>
            <w:tcW w:w="4852" w:type="dxa"/>
            <w:vAlign w:val="center"/>
          </w:tcPr>
          <w:p w14:paraId="2A98EA57">
            <w:pPr>
              <w:snapToGrid w:val="0"/>
              <w:jc w:val="center"/>
              <w:rPr>
                <w:rFonts w:ascii="Times New Roman" w:hAnsi="Times New Roman" w:cs="Times New Roman"/>
                <w:sz w:val="24"/>
                <w:szCs w:val="32"/>
              </w:rPr>
            </w:pPr>
            <w:r>
              <w:rPr>
                <w:rFonts w:hint="eastAsia" w:ascii="Times New Roman" w:hAnsi="Times New Roman" w:cs="Times New Roman"/>
                <w:sz w:val="24"/>
                <w:szCs w:val="32"/>
              </w:rPr>
              <w:t>国家自然（社会）科学基金数</w:t>
            </w:r>
          </w:p>
        </w:tc>
        <w:tc>
          <w:tcPr>
            <w:tcW w:w="1824" w:type="dxa"/>
            <w:vAlign w:val="center"/>
          </w:tcPr>
          <w:p w14:paraId="382D37E5">
            <w:pPr>
              <w:snapToGrid w:val="0"/>
              <w:jc w:val="center"/>
              <w:rPr>
                <w:rFonts w:ascii="Times New Roman" w:hAnsi="Times New Roman" w:cs="Times New Roman"/>
                <w:sz w:val="24"/>
                <w:szCs w:val="32"/>
              </w:rPr>
            </w:pPr>
            <w:r>
              <w:rPr>
                <w:rFonts w:hint="eastAsia" w:ascii="Times New Roman" w:hAnsi="Times New Roman" w:cs="Times New Roman"/>
                <w:sz w:val="24"/>
                <w:szCs w:val="32"/>
              </w:rPr>
              <w:t>40</w:t>
            </w:r>
          </w:p>
        </w:tc>
        <w:tc>
          <w:tcPr>
            <w:tcW w:w="1836" w:type="dxa"/>
            <w:vAlign w:val="center"/>
          </w:tcPr>
          <w:p w14:paraId="36BA0216">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40</w:t>
            </w:r>
          </w:p>
        </w:tc>
        <w:tc>
          <w:tcPr>
            <w:tcW w:w="1836" w:type="dxa"/>
            <w:vAlign w:val="center"/>
          </w:tcPr>
          <w:p w14:paraId="50A975BB">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80</w:t>
            </w:r>
          </w:p>
        </w:tc>
      </w:tr>
      <w:tr w14:paraId="045E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5D12AAF9">
            <w:pPr>
              <w:snapToGrid w:val="0"/>
              <w:jc w:val="center"/>
              <w:rPr>
                <w:rFonts w:ascii="Times New Roman" w:hAnsi="Times New Roman" w:cs="Times New Roman"/>
                <w:sz w:val="24"/>
                <w:szCs w:val="32"/>
              </w:rPr>
            </w:pPr>
          </w:p>
        </w:tc>
        <w:tc>
          <w:tcPr>
            <w:tcW w:w="812" w:type="dxa"/>
            <w:vAlign w:val="center"/>
          </w:tcPr>
          <w:p w14:paraId="682F5FB3">
            <w:pPr>
              <w:snapToGrid w:val="0"/>
              <w:jc w:val="center"/>
              <w:rPr>
                <w:rFonts w:ascii="Times New Roman" w:hAnsi="Times New Roman" w:cs="Times New Roman"/>
                <w:sz w:val="24"/>
                <w:szCs w:val="32"/>
              </w:rPr>
            </w:pPr>
            <w:r>
              <w:rPr>
                <w:rFonts w:hint="eastAsia" w:ascii="Times New Roman" w:hAnsi="Times New Roman" w:cs="Times New Roman"/>
                <w:sz w:val="24"/>
                <w:szCs w:val="32"/>
              </w:rPr>
              <w:t>5</w:t>
            </w:r>
          </w:p>
        </w:tc>
        <w:tc>
          <w:tcPr>
            <w:tcW w:w="1564" w:type="dxa"/>
            <w:vMerge w:val="restart"/>
            <w:vAlign w:val="center"/>
          </w:tcPr>
          <w:p w14:paraId="4FE47154">
            <w:pPr>
              <w:snapToGrid w:val="0"/>
              <w:jc w:val="center"/>
              <w:rPr>
                <w:rFonts w:ascii="Times New Roman" w:hAnsi="Times New Roman" w:cs="Times New Roman"/>
                <w:sz w:val="24"/>
                <w:szCs w:val="32"/>
              </w:rPr>
            </w:pPr>
            <w:r>
              <w:rPr>
                <w:rFonts w:hint="eastAsia" w:ascii="Times New Roman" w:hAnsi="Times New Roman" w:cs="Times New Roman"/>
                <w:sz w:val="24"/>
                <w:szCs w:val="32"/>
              </w:rPr>
              <w:t>科研成果</w:t>
            </w:r>
          </w:p>
        </w:tc>
        <w:tc>
          <w:tcPr>
            <w:tcW w:w="4852" w:type="dxa"/>
            <w:vAlign w:val="center"/>
          </w:tcPr>
          <w:p w14:paraId="0F5E2296">
            <w:pPr>
              <w:snapToGrid w:val="0"/>
              <w:jc w:val="center"/>
              <w:rPr>
                <w:rFonts w:ascii="Times New Roman" w:hAnsi="Times New Roman" w:cs="Times New Roman"/>
                <w:color w:val="EE0000"/>
                <w:sz w:val="24"/>
                <w:szCs w:val="32"/>
              </w:rPr>
            </w:pPr>
            <w:r>
              <w:rPr>
                <w:rFonts w:hint="eastAsia" w:ascii="Times New Roman" w:hAnsi="Times New Roman" w:cs="Times New Roman"/>
                <w:sz w:val="24"/>
                <w:szCs w:val="32"/>
              </w:rPr>
              <w:t>SCI、EI、SSCI、Scopus等国际期刊</w:t>
            </w:r>
          </w:p>
        </w:tc>
        <w:tc>
          <w:tcPr>
            <w:tcW w:w="1824" w:type="dxa"/>
            <w:vAlign w:val="center"/>
          </w:tcPr>
          <w:p w14:paraId="1EA4587E">
            <w:pPr>
              <w:snapToGrid w:val="0"/>
              <w:jc w:val="center"/>
              <w:rPr>
                <w:rFonts w:ascii="Times New Roman" w:hAnsi="Times New Roman" w:cs="Times New Roman"/>
                <w:sz w:val="24"/>
                <w:szCs w:val="32"/>
              </w:rPr>
            </w:pPr>
            <w:r>
              <w:rPr>
                <w:rFonts w:hint="eastAsia" w:ascii="Times New Roman" w:hAnsi="Times New Roman" w:cs="Times New Roman"/>
                <w:sz w:val="24"/>
                <w:szCs w:val="32"/>
              </w:rPr>
              <w:t>347</w:t>
            </w:r>
          </w:p>
        </w:tc>
        <w:tc>
          <w:tcPr>
            <w:tcW w:w="1836" w:type="dxa"/>
            <w:vAlign w:val="center"/>
          </w:tcPr>
          <w:p w14:paraId="2FAE0D11">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300</w:t>
            </w:r>
          </w:p>
        </w:tc>
        <w:tc>
          <w:tcPr>
            <w:tcW w:w="1836" w:type="dxa"/>
            <w:vAlign w:val="center"/>
          </w:tcPr>
          <w:p w14:paraId="3ECBA6E6">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500</w:t>
            </w:r>
          </w:p>
        </w:tc>
      </w:tr>
      <w:tr w14:paraId="137A1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2C66DCD1">
            <w:pPr>
              <w:snapToGrid w:val="0"/>
              <w:jc w:val="center"/>
              <w:rPr>
                <w:rFonts w:ascii="Times New Roman" w:hAnsi="Times New Roman" w:cs="Times New Roman"/>
                <w:sz w:val="24"/>
                <w:szCs w:val="32"/>
              </w:rPr>
            </w:pPr>
          </w:p>
        </w:tc>
        <w:tc>
          <w:tcPr>
            <w:tcW w:w="812" w:type="dxa"/>
            <w:vAlign w:val="center"/>
          </w:tcPr>
          <w:p w14:paraId="13C9FE62">
            <w:pPr>
              <w:snapToGrid w:val="0"/>
              <w:jc w:val="center"/>
              <w:rPr>
                <w:rFonts w:ascii="Times New Roman" w:hAnsi="Times New Roman" w:cs="Times New Roman"/>
                <w:sz w:val="24"/>
                <w:szCs w:val="32"/>
              </w:rPr>
            </w:pPr>
            <w:r>
              <w:rPr>
                <w:rFonts w:hint="eastAsia" w:ascii="Times New Roman" w:hAnsi="Times New Roman" w:cs="Times New Roman"/>
                <w:sz w:val="24"/>
                <w:szCs w:val="32"/>
              </w:rPr>
              <w:t>6</w:t>
            </w:r>
          </w:p>
        </w:tc>
        <w:tc>
          <w:tcPr>
            <w:tcW w:w="1564" w:type="dxa"/>
            <w:vMerge w:val="continue"/>
            <w:vAlign w:val="center"/>
          </w:tcPr>
          <w:p w14:paraId="7E54A0FF">
            <w:pPr>
              <w:snapToGrid w:val="0"/>
              <w:jc w:val="center"/>
              <w:rPr>
                <w:rFonts w:ascii="Times New Roman" w:hAnsi="Times New Roman" w:cs="Times New Roman"/>
                <w:sz w:val="24"/>
                <w:szCs w:val="32"/>
              </w:rPr>
            </w:pPr>
          </w:p>
        </w:tc>
        <w:tc>
          <w:tcPr>
            <w:tcW w:w="4852" w:type="dxa"/>
            <w:vAlign w:val="center"/>
          </w:tcPr>
          <w:p w14:paraId="011AD2D8">
            <w:pPr>
              <w:snapToGrid w:val="0"/>
              <w:jc w:val="center"/>
              <w:rPr>
                <w:rFonts w:ascii="Times New Roman" w:hAnsi="Times New Roman" w:cs="Times New Roman"/>
                <w:sz w:val="24"/>
                <w:szCs w:val="32"/>
              </w:rPr>
            </w:pPr>
            <w:r>
              <w:rPr>
                <w:rFonts w:hint="eastAsia" w:ascii="Times New Roman" w:hAnsi="Times New Roman" w:cs="Times New Roman"/>
                <w:sz w:val="24"/>
                <w:szCs w:val="32"/>
              </w:rPr>
              <w:t>其中：影响因子IF&gt;10论文</w:t>
            </w:r>
          </w:p>
        </w:tc>
        <w:tc>
          <w:tcPr>
            <w:tcW w:w="1824" w:type="dxa"/>
            <w:vAlign w:val="center"/>
          </w:tcPr>
          <w:p w14:paraId="75C65E09">
            <w:pPr>
              <w:snapToGrid w:val="0"/>
              <w:jc w:val="center"/>
              <w:rPr>
                <w:rFonts w:ascii="Times New Roman" w:hAnsi="Times New Roman" w:cs="Times New Roman"/>
                <w:sz w:val="24"/>
                <w:szCs w:val="32"/>
              </w:rPr>
            </w:pPr>
            <w:r>
              <w:rPr>
                <w:rFonts w:hint="eastAsia" w:ascii="Times New Roman" w:hAnsi="Times New Roman" w:cs="Times New Roman"/>
                <w:sz w:val="24"/>
                <w:szCs w:val="32"/>
              </w:rPr>
              <w:t>19</w:t>
            </w:r>
          </w:p>
        </w:tc>
        <w:tc>
          <w:tcPr>
            <w:tcW w:w="1836" w:type="dxa"/>
            <w:vAlign w:val="center"/>
          </w:tcPr>
          <w:p w14:paraId="068EB17C">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20</w:t>
            </w:r>
          </w:p>
        </w:tc>
        <w:tc>
          <w:tcPr>
            <w:tcW w:w="1836" w:type="dxa"/>
            <w:vAlign w:val="center"/>
          </w:tcPr>
          <w:p w14:paraId="2B662612">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40</w:t>
            </w:r>
          </w:p>
        </w:tc>
      </w:tr>
      <w:tr w14:paraId="43B9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406E95ED">
            <w:pPr>
              <w:snapToGrid w:val="0"/>
              <w:jc w:val="center"/>
              <w:rPr>
                <w:rFonts w:ascii="Times New Roman" w:hAnsi="Times New Roman" w:cs="Times New Roman"/>
                <w:sz w:val="24"/>
                <w:szCs w:val="32"/>
              </w:rPr>
            </w:pPr>
          </w:p>
        </w:tc>
        <w:tc>
          <w:tcPr>
            <w:tcW w:w="812" w:type="dxa"/>
            <w:vAlign w:val="center"/>
          </w:tcPr>
          <w:p w14:paraId="7AF62681">
            <w:pPr>
              <w:snapToGrid w:val="0"/>
              <w:jc w:val="center"/>
              <w:rPr>
                <w:rFonts w:ascii="Times New Roman" w:hAnsi="Times New Roman" w:cs="Times New Roman"/>
                <w:color w:val="EE0000"/>
                <w:sz w:val="24"/>
                <w:szCs w:val="32"/>
              </w:rPr>
            </w:pPr>
            <w:r>
              <w:rPr>
                <w:rFonts w:hint="eastAsia" w:ascii="Times New Roman" w:hAnsi="Times New Roman" w:cs="Times New Roman"/>
                <w:color w:val="000000" w:themeColor="text1"/>
                <w:sz w:val="24"/>
                <w:szCs w:val="32"/>
                <w14:textFill>
                  <w14:solidFill>
                    <w14:schemeClr w14:val="tx1"/>
                  </w14:solidFill>
                </w14:textFill>
              </w:rPr>
              <w:t>7</w:t>
            </w:r>
          </w:p>
        </w:tc>
        <w:tc>
          <w:tcPr>
            <w:tcW w:w="1564" w:type="dxa"/>
            <w:vMerge w:val="continue"/>
            <w:vAlign w:val="center"/>
          </w:tcPr>
          <w:p w14:paraId="51230830">
            <w:pPr>
              <w:snapToGrid w:val="0"/>
              <w:jc w:val="center"/>
              <w:rPr>
                <w:rFonts w:ascii="Times New Roman" w:hAnsi="Times New Roman" w:cs="Times New Roman"/>
                <w:sz w:val="24"/>
                <w:szCs w:val="32"/>
              </w:rPr>
            </w:pPr>
          </w:p>
        </w:tc>
        <w:tc>
          <w:tcPr>
            <w:tcW w:w="4852" w:type="dxa"/>
            <w:vAlign w:val="center"/>
          </w:tcPr>
          <w:p w14:paraId="09867B64">
            <w:pPr>
              <w:snapToGrid w:val="0"/>
              <w:ind w:firstLine="1680" w:firstLineChars="700"/>
              <w:rPr>
                <w:rFonts w:ascii="Times New Roman" w:hAnsi="Times New Roman" w:cs="Times New Roman"/>
                <w:sz w:val="24"/>
                <w:szCs w:val="32"/>
              </w:rPr>
            </w:pPr>
            <w:r>
              <w:rPr>
                <w:rFonts w:hint="eastAsia" w:ascii="Times New Roman" w:hAnsi="Times New Roman" w:cs="Times New Roman"/>
                <w:sz w:val="24"/>
                <w:szCs w:val="32"/>
              </w:rPr>
              <w:t>NCS期刊子刊论文</w:t>
            </w:r>
          </w:p>
        </w:tc>
        <w:tc>
          <w:tcPr>
            <w:tcW w:w="1824" w:type="dxa"/>
            <w:vAlign w:val="center"/>
          </w:tcPr>
          <w:p w14:paraId="32AC0FA4">
            <w:pPr>
              <w:snapToGrid w:val="0"/>
              <w:jc w:val="center"/>
              <w:rPr>
                <w:rFonts w:ascii="Times New Roman" w:hAnsi="Times New Roman" w:cs="Times New Roman"/>
                <w:sz w:val="24"/>
                <w:szCs w:val="32"/>
              </w:rPr>
            </w:pPr>
            <w:r>
              <w:rPr>
                <w:rFonts w:hint="eastAsia" w:ascii="Times New Roman" w:hAnsi="Times New Roman" w:cs="Times New Roman"/>
                <w:sz w:val="24"/>
                <w:szCs w:val="32"/>
              </w:rPr>
              <w:t>6</w:t>
            </w:r>
          </w:p>
        </w:tc>
        <w:tc>
          <w:tcPr>
            <w:tcW w:w="1836" w:type="dxa"/>
            <w:vAlign w:val="center"/>
          </w:tcPr>
          <w:p w14:paraId="64E3236E">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4</w:t>
            </w:r>
          </w:p>
        </w:tc>
        <w:tc>
          <w:tcPr>
            <w:tcW w:w="1836" w:type="dxa"/>
            <w:vAlign w:val="center"/>
          </w:tcPr>
          <w:p w14:paraId="7A4136DC">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8</w:t>
            </w:r>
          </w:p>
        </w:tc>
      </w:tr>
      <w:tr w14:paraId="54D3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32" w:type="dxa"/>
            <w:vMerge w:val="continue"/>
            <w:vAlign w:val="center"/>
          </w:tcPr>
          <w:p w14:paraId="5CA219DE">
            <w:pPr>
              <w:snapToGrid w:val="0"/>
              <w:jc w:val="center"/>
              <w:rPr>
                <w:rFonts w:ascii="Times New Roman" w:hAnsi="Times New Roman" w:cs="Times New Roman"/>
                <w:sz w:val="24"/>
                <w:szCs w:val="32"/>
              </w:rPr>
            </w:pPr>
          </w:p>
        </w:tc>
        <w:tc>
          <w:tcPr>
            <w:tcW w:w="812" w:type="dxa"/>
            <w:vAlign w:val="center"/>
          </w:tcPr>
          <w:p w14:paraId="25D59415">
            <w:pPr>
              <w:snapToGrid w:val="0"/>
              <w:jc w:val="center"/>
              <w:rPr>
                <w:rFonts w:ascii="Times New Roman" w:hAnsi="Times New Roman" w:cs="Times New Roman"/>
                <w:sz w:val="24"/>
                <w:szCs w:val="32"/>
              </w:rPr>
            </w:pPr>
            <w:r>
              <w:rPr>
                <w:rFonts w:hint="eastAsia" w:ascii="Times New Roman" w:hAnsi="Times New Roman" w:cs="Times New Roman"/>
                <w:sz w:val="24"/>
                <w:szCs w:val="32"/>
              </w:rPr>
              <w:t>8</w:t>
            </w:r>
          </w:p>
        </w:tc>
        <w:tc>
          <w:tcPr>
            <w:tcW w:w="1564" w:type="dxa"/>
            <w:vMerge w:val="restart"/>
            <w:vAlign w:val="center"/>
          </w:tcPr>
          <w:p w14:paraId="298F940F">
            <w:pPr>
              <w:snapToGrid w:val="0"/>
              <w:jc w:val="center"/>
              <w:rPr>
                <w:rFonts w:ascii="Times New Roman" w:hAnsi="Times New Roman" w:cs="Times New Roman"/>
                <w:sz w:val="24"/>
                <w:szCs w:val="32"/>
              </w:rPr>
            </w:pPr>
            <w:r>
              <w:rPr>
                <w:rFonts w:hint="eastAsia" w:ascii="Times New Roman" w:hAnsi="Times New Roman" w:cs="Times New Roman"/>
                <w:sz w:val="24"/>
                <w:szCs w:val="32"/>
              </w:rPr>
              <w:t>知识产权</w:t>
            </w:r>
          </w:p>
        </w:tc>
        <w:tc>
          <w:tcPr>
            <w:tcW w:w="4852" w:type="dxa"/>
            <w:vAlign w:val="center"/>
          </w:tcPr>
          <w:p w14:paraId="5BC2170D">
            <w:pPr>
              <w:snapToGrid w:val="0"/>
              <w:jc w:val="center"/>
              <w:rPr>
                <w:rFonts w:ascii="Times New Roman" w:hAnsi="Times New Roman" w:cs="Times New Roman"/>
                <w:sz w:val="24"/>
                <w:szCs w:val="32"/>
              </w:rPr>
            </w:pPr>
            <w:r>
              <w:rPr>
                <w:rFonts w:hint="eastAsia" w:ascii="Times New Roman" w:hAnsi="Times New Roman" w:cs="Times New Roman"/>
                <w:sz w:val="24"/>
                <w:szCs w:val="32"/>
              </w:rPr>
              <w:t>发明专利授权</w:t>
            </w:r>
          </w:p>
        </w:tc>
        <w:tc>
          <w:tcPr>
            <w:tcW w:w="1824" w:type="dxa"/>
            <w:vAlign w:val="center"/>
          </w:tcPr>
          <w:p w14:paraId="3A56340B">
            <w:pPr>
              <w:snapToGrid w:val="0"/>
              <w:jc w:val="center"/>
              <w:rPr>
                <w:rFonts w:ascii="Times New Roman" w:hAnsi="Times New Roman" w:cs="Times New Roman"/>
                <w:sz w:val="24"/>
                <w:szCs w:val="32"/>
              </w:rPr>
            </w:pPr>
            <w:r>
              <w:rPr>
                <w:rFonts w:hint="eastAsia" w:ascii="Times New Roman" w:hAnsi="Times New Roman" w:cs="Times New Roman"/>
                <w:sz w:val="24"/>
                <w:szCs w:val="32"/>
              </w:rPr>
              <w:t>153</w:t>
            </w:r>
          </w:p>
        </w:tc>
        <w:tc>
          <w:tcPr>
            <w:tcW w:w="1836" w:type="dxa"/>
            <w:vAlign w:val="center"/>
          </w:tcPr>
          <w:p w14:paraId="4794F3EA">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150</w:t>
            </w:r>
          </w:p>
        </w:tc>
        <w:tc>
          <w:tcPr>
            <w:tcW w:w="1836" w:type="dxa"/>
            <w:vAlign w:val="center"/>
          </w:tcPr>
          <w:p w14:paraId="1ACA6511">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250</w:t>
            </w:r>
          </w:p>
        </w:tc>
      </w:tr>
      <w:tr w14:paraId="0BE4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0B643A16">
            <w:pPr>
              <w:snapToGrid w:val="0"/>
              <w:jc w:val="center"/>
              <w:rPr>
                <w:rFonts w:ascii="Times New Roman" w:hAnsi="Times New Roman" w:cs="Times New Roman"/>
                <w:sz w:val="24"/>
                <w:szCs w:val="32"/>
              </w:rPr>
            </w:pPr>
          </w:p>
        </w:tc>
        <w:tc>
          <w:tcPr>
            <w:tcW w:w="812" w:type="dxa"/>
            <w:vAlign w:val="center"/>
          </w:tcPr>
          <w:p w14:paraId="42843AEF">
            <w:pPr>
              <w:snapToGrid w:val="0"/>
              <w:jc w:val="center"/>
              <w:rPr>
                <w:rFonts w:ascii="Times New Roman" w:hAnsi="Times New Roman" w:cs="Times New Roman"/>
                <w:sz w:val="24"/>
                <w:szCs w:val="32"/>
              </w:rPr>
            </w:pPr>
            <w:r>
              <w:rPr>
                <w:rFonts w:hint="eastAsia" w:ascii="Times New Roman" w:hAnsi="Times New Roman" w:cs="Times New Roman"/>
                <w:sz w:val="24"/>
                <w:szCs w:val="32"/>
              </w:rPr>
              <w:t>9</w:t>
            </w:r>
          </w:p>
        </w:tc>
        <w:tc>
          <w:tcPr>
            <w:tcW w:w="1564" w:type="dxa"/>
            <w:vMerge w:val="continue"/>
            <w:vAlign w:val="center"/>
          </w:tcPr>
          <w:p w14:paraId="30FDB0BB">
            <w:pPr>
              <w:snapToGrid w:val="0"/>
              <w:jc w:val="center"/>
              <w:rPr>
                <w:rFonts w:ascii="Times New Roman" w:hAnsi="Times New Roman" w:cs="Times New Roman"/>
                <w:sz w:val="24"/>
                <w:szCs w:val="32"/>
              </w:rPr>
            </w:pPr>
          </w:p>
        </w:tc>
        <w:tc>
          <w:tcPr>
            <w:tcW w:w="4852" w:type="dxa"/>
            <w:vAlign w:val="center"/>
          </w:tcPr>
          <w:p w14:paraId="41BB5505">
            <w:pPr>
              <w:snapToGrid w:val="0"/>
              <w:jc w:val="center"/>
              <w:rPr>
                <w:rFonts w:ascii="Times New Roman" w:hAnsi="Times New Roman" w:cs="Times New Roman"/>
                <w:sz w:val="24"/>
                <w:szCs w:val="32"/>
              </w:rPr>
            </w:pPr>
            <w:r>
              <w:rPr>
                <w:rFonts w:hint="eastAsia" w:ascii="Times New Roman" w:hAnsi="Times New Roman" w:cs="Times New Roman"/>
                <w:sz w:val="24"/>
                <w:szCs w:val="32"/>
              </w:rPr>
              <w:t>PCT国际</w:t>
            </w:r>
            <w:r>
              <w:rPr>
                <w:rFonts w:ascii="Times New Roman" w:hAnsi="Times New Roman" w:cs="Times New Roman"/>
                <w:sz w:val="24"/>
                <w:szCs w:val="32"/>
              </w:rPr>
              <w:t>发明专利授权</w:t>
            </w:r>
          </w:p>
        </w:tc>
        <w:tc>
          <w:tcPr>
            <w:tcW w:w="1824" w:type="dxa"/>
            <w:vAlign w:val="center"/>
          </w:tcPr>
          <w:p w14:paraId="6481D6BE">
            <w:pPr>
              <w:snapToGrid w:val="0"/>
              <w:jc w:val="center"/>
              <w:rPr>
                <w:rFonts w:ascii="Times New Roman" w:hAnsi="Times New Roman" w:cs="Times New Roman"/>
                <w:sz w:val="24"/>
                <w:szCs w:val="32"/>
              </w:rPr>
            </w:pPr>
            <w:r>
              <w:rPr>
                <w:rFonts w:hint="eastAsia" w:ascii="Times New Roman" w:hAnsi="Times New Roman" w:cs="Times New Roman"/>
                <w:sz w:val="24"/>
                <w:szCs w:val="32"/>
              </w:rPr>
              <w:t>0</w:t>
            </w:r>
          </w:p>
        </w:tc>
        <w:tc>
          <w:tcPr>
            <w:tcW w:w="1836" w:type="dxa"/>
            <w:vAlign w:val="center"/>
          </w:tcPr>
          <w:p w14:paraId="3DDB80F4">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w:t>
            </w:r>
          </w:p>
        </w:tc>
        <w:tc>
          <w:tcPr>
            <w:tcW w:w="1836" w:type="dxa"/>
            <w:vAlign w:val="center"/>
          </w:tcPr>
          <w:p w14:paraId="36CEDDAF">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5</w:t>
            </w:r>
          </w:p>
        </w:tc>
      </w:tr>
      <w:tr w14:paraId="0565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121F6876">
            <w:pPr>
              <w:snapToGrid w:val="0"/>
              <w:jc w:val="center"/>
              <w:rPr>
                <w:rFonts w:ascii="Times New Roman" w:hAnsi="Times New Roman" w:cs="Times New Roman"/>
                <w:sz w:val="24"/>
                <w:szCs w:val="32"/>
                <w:highlight w:val="none"/>
              </w:rPr>
            </w:pPr>
          </w:p>
        </w:tc>
        <w:tc>
          <w:tcPr>
            <w:tcW w:w="812" w:type="dxa"/>
            <w:vAlign w:val="center"/>
          </w:tcPr>
          <w:p w14:paraId="34364A7D">
            <w:pPr>
              <w:snapToGrid w:val="0"/>
              <w:jc w:val="center"/>
              <w:rPr>
                <w:rFonts w:ascii="Times New Roman" w:hAnsi="Times New Roman" w:cs="Times New Roman"/>
                <w:sz w:val="24"/>
                <w:szCs w:val="32"/>
                <w:highlight w:val="none"/>
              </w:rPr>
            </w:pPr>
            <w:r>
              <w:rPr>
                <w:rFonts w:hint="eastAsia" w:ascii="Times New Roman" w:hAnsi="Times New Roman" w:cs="Times New Roman"/>
                <w:sz w:val="24"/>
                <w:szCs w:val="32"/>
                <w:highlight w:val="none"/>
              </w:rPr>
              <w:t>10</w:t>
            </w:r>
          </w:p>
        </w:tc>
        <w:tc>
          <w:tcPr>
            <w:tcW w:w="1564" w:type="dxa"/>
            <w:vMerge w:val="continue"/>
            <w:vAlign w:val="center"/>
          </w:tcPr>
          <w:p w14:paraId="66BA38FD">
            <w:pPr>
              <w:snapToGrid w:val="0"/>
              <w:jc w:val="center"/>
              <w:rPr>
                <w:rFonts w:ascii="Times New Roman" w:hAnsi="Times New Roman" w:cs="Times New Roman"/>
                <w:sz w:val="24"/>
                <w:szCs w:val="32"/>
                <w:highlight w:val="none"/>
              </w:rPr>
            </w:pPr>
          </w:p>
        </w:tc>
        <w:tc>
          <w:tcPr>
            <w:tcW w:w="4852" w:type="dxa"/>
            <w:vAlign w:val="center"/>
          </w:tcPr>
          <w:p w14:paraId="749CB57B">
            <w:pPr>
              <w:snapToGrid w:val="0"/>
              <w:jc w:val="center"/>
              <w:rPr>
                <w:rFonts w:ascii="Times New Roman" w:hAnsi="Times New Roman" w:cs="Times New Roman"/>
                <w:sz w:val="24"/>
                <w:szCs w:val="32"/>
                <w:highlight w:val="none"/>
              </w:rPr>
            </w:pPr>
            <w:r>
              <w:rPr>
                <w:rFonts w:hint="eastAsia" w:ascii="Times New Roman" w:hAnsi="Times New Roman" w:cs="Times New Roman"/>
                <w:sz w:val="24"/>
                <w:szCs w:val="32"/>
                <w:highlight w:val="none"/>
              </w:rPr>
              <w:t>专利等成果转化合同金额（万元）</w:t>
            </w:r>
          </w:p>
        </w:tc>
        <w:tc>
          <w:tcPr>
            <w:tcW w:w="1824" w:type="dxa"/>
            <w:vAlign w:val="center"/>
          </w:tcPr>
          <w:p w14:paraId="39F6D925">
            <w:pPr>
              <w:snapToGrid w:val="0"/>
              <w:jc w:val="center"/>
              <w:rPr>
                <w:rFonts w:hint="default" w:ascii="Times New Roman" w:hAnsi="Times New Roman" w:cs="Times New Roman"/>
                <w:sz w:val="24"/>
                <w:szCs w:val="32"/>
                <w:highlight w:val="none"/>
              </w:rPr>
            </w:pPr>
            <w:r>
              <w:rPr>
                <w:rFonts w:hint="eastAsia" w:ascii="Times New Roman" w:hAnsi="Times New Roman" w:cs="Times New Roman"/>
                <w:sz w:val="24"/>
                <w:szCs w:val="32"/>
                <w:highlight w:val="none"/>
                <w:lang w:eastAsia="zh-CN"/>
              </w:rPr>
              <w:t>3</w:t>
            </w:r>
            <w:r>
              <w:rPr>
                <w:rFonts w:hint="eastAsia" w:ascii="Times New Roman" w:hAnsi="Times New Roman" w:cs="Times New Roman"/>
                <w:sz w:val="24"/>
                <w:szCs w:val="32"/>
                <w:highlight w:val="none"/>
                <w:lang w:val="en-US" w:eastAsia="zh-CN"/>
              </w:rPr>
              <w:t>7.2</w:t>
            </w:r>
          </w:p>
        </w:tc>
        <w:tc>
          <w:tcPr>
            <w:tcW w:w="1836" w:type="dxa"/>
            <w:vAlign w:val="center"/>
          </w:tcPr>
          <w:p w14:paraId="1C5939F2">
            <w:pPr>
              <w:snapToGrid w:val="0"/>
              <w:jc w:val="center"/>
              <w:rPr>
                <w:rFonts w:hint="default" w:ascii="Times New Roman" w:hAnsi="Times New Roman" w:cs="Times New Roman" w:eastAsiaTheme="minorEastAsia"/>
                <w:sz w:val="24"/>
                <w:szCs w:val="32"/>
                <w:highlight w:val="none"/>
                <w:lang w:val="en-US" w:eastAsia="zh-CN"/>
              </w:rPr>
            </w:pPr>
            <w:r>
              <w:rPr>
                <w:rFonts w:hint="eastAsia" w:ascii="Times New Roman" w:hAnsi="Times New Roman" w:cs="Times New Roman"/>
                <w:sz w:val="24"/>
                <w:szCs w:val="32"/>
                <w:highlight w:val="none"/>
                <w:lang w:val="en-US" w:eastAsia="zh-CN"/>
              </w:rPr>
              <w:t>100</w:t>
            </w:r>
          </w:p>
        </w:tc>
        <w:tc>
          <w:tcPr>
            <w:tcW w:w="1836" w:type="dxa"/>
            <w:vAlign w:val="center"/>
          </w:tcPr>
          <w:p w14:paraId="1B7AAA01">
            <w:pPr>
              <w:snapToGrid w:val="0"/>
              <w:jc w:val="center"/>
              <w:rPr>
                <w:rFonts w:hint="default" w:ascii="Times New Roman" w:hAnsi="Times New Roman" w:cs="Times New Roman" w:eastAsiaTheme="minorEastAsia"/>
                <w:sz w:val="24"/>
                <w:szCs w:val="32"/>
                <w:highlight w:val="none"/>
                <w:lang w:val="en-US" w:eastAsia="zh-CN"/>
              </w:rPr>
            </w:pPr>
            <w:r>
              <w:rPr>
                <w:rFonts w:hint="eastAsia" w:ascii="Times New Roman" w:hAnsi="Times New Roman" w:cs="Times New Roman"/>
                <w:sz w:val="24"/>
                <w:szCs w:val="32"/>
                <w:highlight w:val="none"/>
                <w:lang w:val="en-US" w:eastAsia="zh-CN"/>
              </w:rPr>
              <w:t>200</w:t>
            </w:r>
          </w:p>
        </w:tc>
      </w:tr>
      <w:tr w14:paraId="570D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272E0AD7">
            <w:pPr>
              <w:snapToGrid w:val="0"/>
              <w:jc w:val="center"/>
              <w:rPr>
                <w:rFonts w:ascii="Times New Roman" w:hAnsi="Times New Roman" w:cs="Times New Roman"/>
                <w:sz w:val="24"/>
                <w:szCs w:val="32"/>
              </w:rPr>
            </w:pPr>
          </w:p>
        </w:tc>
        <w:tc>
          <w:tcPr>
            <w:tcW w:w="812" w:type="dxa"/>
            <w:vAlign w:val="center"/>
          </w:tcPr>
          <w:p w14:paraId="4B2A5F3E">
            <w:pPr>
              <w:snapToGrid w:val="0"/>
              <w:jc w:val="center"/>
              <w:rPr>
                <w:rFonts w:ascii="Times New Roman" w:hAnsi="Times New Roman" w:cs="Times New Roman"/>
                <w:sz w:val="24"/>
                <w:szCs w:val="32"/>
              </w:rPr>
            </w:pPr>
            <w:r>
              <w:rPr>
                <w:rFonts w:hint="eastAsia" w:ascii="Times New Roman" w:hAnsi="Times New Roman" w:cs="Times New Roman"/>
                <w:sz w:val="24"/>
                <w:szCs w:val="32"/>
              </w:rPr>
              <w:t>11</w:t>
            </w:r>
          </w:p>
        </w:tc>
        <w:tc>
          <w:tcPr>
            <w:tcW w:w="1564" w:type="dxa"/>
            <w:vMerge w:val="continue"/>
            <w:vAlign w:val="center"/>
          </w:tcPr>
          <w:p w14:paraId="71E2F428">
            <w:pPr>
              <w:snapToGrid w:val="0"/>
              <w:jc w:val="center"/>
              <w:rPr>
                <w:rFonts w:ascii="Times New Roman" w:hAnsi="Times New Roman" w:cs="Times New Roman"/>
                <w:sz w:val="24"/>
                <w:szCs w:val="32"/>
              </w:rPr>
            </w:pPr>
          </w:p>
        </w:tc>
        <w:tc>
          <w:tcPr>
            <w:tcW w:w="4852" w:type="dxa"/>
            <w:vAlign w:val="center"/>
          </w:tcPr>
          <w:p w14:paraId="275D63EB">
            <w:pPr>
              <w:snapToGrid w:val="0"/>
              <w:jc w:val="center"/>
              <w:rPr>
                <w:rFonts w:ascii="Times New Roman" w:hAnsi="Times New Roman" w:cs="Times New Roman"/>
                <w:sz w:val="24"/>
                <w:szCs w:val="32"/>
              </w:rPr>
            </w:pPr>
            <w:r>
              <w:rPr>
                <w:rFonts w:hint="eastAsia" w:ascii="Times New Roman" w:hAnsi="Times New Roman" w:cs="Times New Roman"/>
                <w:sz w:val="24"/>
                <w:szCs w:val="32"/>
              </w:rPr>
              <w:t>专利等成果转化合同项数</w:t>
            </w:r>
          </w:p>
        </w:tc>
        <w:tc>
          <w:tcPr>
            <w:tcW w:w="1824" w:type="dxa"/>
            <w:vAlign w:val="center"/>
          </w:tcPr>
          <w:p w14:paraId="5017FF22">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22</w:t>
            </w:r>
          </w:p>
        </w:tc>
        <w:tc>
          <w:tcPr>
            <w:tcW w:w="1836" w:type="dxa"/>
            <w:vAlign w:val="center"/>
          </w:tcPr>
          <w:p w14:paraId="04BE1869">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w:t>
            </w:r>
          </w:p>
        </w:tc>
        <w:tc>
          <w:tcPr>
            <w:tcW w:w="1836" w:type="dxa"/>
            <w:vAlign w:val="center"/>
          </w:tcPr>
          <w:p w14:paraId="10612F5B">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30</w:t>
            </w:r>
          </w:p>
        </w:tc>
      </w:tr>
      <w:tr w14:paraId="061E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766394CD">
            <w:pPr>
              <w:snapToGrid w:val="0"/>
              <w:jc w:val="center"/>
              <w:rPr>
                <w:rFonts w:ascii="Times New Roman" w:hAnsi="Times New Roman" w:cs="Times New Roman"/>
                <w:sz w:val="24"/>
                <w:szCs w:val="32"/>
              </w:rPr>
            </w:pPr>
          </w:p>
        </w:tc>
        <w:tc>
          <w:tcPr>
            <w:tcW w:w="812" w:type="dxa"/>
            <w:vAlign w:val="center"/>
          </w:tcPr>
          <w:p w14:paraId="24D2F125">
            <w:pPr>
              <w:snapToGrid w:val="0"/>
              <w:jc w:val="center"/>
              <w:rPr>
                <w:rFonts w:ascii="Times New Roman" w:hAnsi="Times New Roman" w:cs="Times New Roman"/>
                <w:sz w:val="24"/>
                <w:szCs w:val="32"/>
              </w:rPr>
            </w:pPr>
            <w:r>
              <w:rPr>
                <w:rFonts w:hint="eastAsia" w:ascii="Times New Roman" w:hAnsi="Times New Roman" w:cs="Times New Roman"/>
                <w:sz w:val="24"/>
                <w:szCs w:val="32"/>
              </w:rPr>
              <w:t>12</w:t>
            </w:r>
          </w:p>
        </w:tc>
        <w:tc>
          <w:tcPr>
            <w:tcW w:w="1564" w:type="dxa"/>
            <w:vMerge w:val="restart"/>
            <w:vAlign w:val="center"/>
          </w:tcPr>
          <w:p w14:paraId="7CB94270">
            <w:pPr>
              <w:snapToGrid w:val="0"/>
              <w:jc w:val="center"/>
              <w:rPr>
                <w:rFonts w:ascii="Times New Roman" w:hAnsi="Times New Roman" w:cs="Times New Roman"/>
                <w:sz w:val="24"/>
                <w:szCs w:val="32"/>
              </w:rPr>
            </w:pPr>
            <w:r>
              <w:rPr>
                <w:rFonts w:hint="eastAsia" w:ascii="Times New Roman" w:hAnsi="Times New Roman" w:cs="Times New Roman"/>
                <w:sz w:val="24"/>
                <w:szCs w:val="32"/>
              </w:rPr>
              <w:t>科研平台</w:t>
            </w:r>
          </w:p>
        </w:tc>
        <w:tc>
          <w:tcPr>
            <w:tcW w:w="4852" w:type="dxa"/>
            <w:vAlign w:val="center"/>
          </w:tcPr>
          <w:p w14:paraId="5B5A4D60">
            <w:pPr>
              <w:snapToGrid w:val="0"/>
              <w:jc w:val="center"/>
              <w:rPr>
                <w:rFonts w:ascii="Times New Roman" w:hAnsi="Times New Roman" w:cs="Times New Roman"/>
                <w:sz w:val="24"/>
                <w:szCs w:val="32"/>
              </w:rPr>
            </w:pPr>
            <w:r>
              <w:rPr>
                <w:rFonts w:hint="eastAsia" w:ascii="Times New Roman" w:hAnsi="Times New Roman" w:cs="Times New Roman"/>
                <w:sz w:val="24"/>
                <w:szCs w:val="32"/>
              </w:rPr>
              <w:t>新增省部级以上科研平台</w:t>
            </w:r>
          </w:p>
        </w:tc>
        <w:tc>
          <w:tcPr>
            <w:tcW w:w="1824" w:type="dxa"/>
            <w:vAlign w:val="center"/>
          </w:tcPr>
          <w:p w14:paraId="29B58540">
            <w:pPr>
              <w:snapToGrid w:val="0"/>
              <w:jc w:val="center"/>
              <w:rPr>
                <w:rFonts w:ascii="Times New Roman" w:hAnsi="Times New Roman" w:cs="Times New Roman"/>
                <w:sz w:val="24"/>
                <w:szCs w:val="32"/>
              </w:rPr>
            </w:pPr>
            <w:r>
              <w:rPr>
                <w:rFonts w:hint="eastAsia" w:ascii="Times New Roman" w:hAnsi="Times New Roman" w:cs="Times New Roman"/>
                <w:sz w:val="24"/>
                <w:szCs w:val="32"/>
              </w:rPr>
              <w:t>11</w:t>
            </w:r>
            <w:bookmarkStart w:id="2" w:name="_GoBack"/>
            <w:bookmarkEnd w:id="2"/>
          </w:p>
        </w:tc>
        <w:tc>
          <w:tcPr>
            <w:tcW w:w="1836" w:type="dxa"/>
            <w:vAlign w:val="center"/>
          </w:tcPr>
          <w:p w14:paraId="7BB1D638">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5</w:t>
            </w:r>
          </w:p>
        </w:tc>
        <w:tc>
          <w:tcPr>
            <w:tcW w:w="1836" w:type="dxa"/>
            <w:vAlign w:val="center"/>
          </w:tcPr>
          <w:p w14:paraId="6FB6B22E">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7</w:t>
            </w:r>
          </w:p>
        </w:tc>
      </w:tr>
      <w:tr w14:paraId="60A99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53AD6007">
            <w:pPr>
              <w:snapToGrid w:val="0"/>
              <w:jc w:val="center"/>
              <w:rPr>
                <w:rFonts w:ascii="Times New Roman" w:hAnsi="Times New Roman" w:cs="Times New Roman"/>
                <w:sz w:val="24"/>
                <w:szCs w:val="32"/>
              </w:rPr>
            </w:pPr>
          </w:p>
        </w:tc>
        <w:tc>
          <w:tcPr>
            <w:tcW w:w="812" w:type="dxa"/>
            <w:vAlign w:val="center"/>
          </w:tcPr>
          <w:p w14:paraId="073DDE42">
            <w:pPr>
              <w:snapToGrid w:val="0"/>
              <w:jc w:val="center"/>
              <w:rPr>
                <w:rFonts w:ascii="Times New Roman" w:hAnsi="Times New Roman" w:cs="Times New Roman"/>
                <w:sz w:val="24"/>
                <w:szCs w:val="32"/>
              </w:rPr>
            </w:pPr>
            <w:r>
              <w:rPr>
                <w:rFonts w:hint="eastAsia" w:ascii="Times New Roman" w:hAnsi="Times New Roman" w:cs="Times New Roman"/>
                <w:sz w:val="24"/>
                <w:szCs w:val="32"/>
              </w:rPr>
              <w:t>13</w:t>
            </w:r>
          </w:p>
        </w:tc>
        <w:tc>
          <w:tcPr>
            <w:tcW w:w="1564" w:type="dxa"/>
            <w:vMerge w:val="continue"/>
            <w:vAlign w:val="center"/>
          </w:tcPr>
          <w:p w14:paraId="573DDCC8">
            <w:pPr>
              <w:snapToGrid w:val="0"/>
              <w:jc w:val="center"/>
              <w:rPr>
                <w:rFonts w:ascii="Times New Roman" w:hAnsi="Times New Roman" w:cs="Times New Roman"/>
                <w:sz w:val="24"/>
                <w:szCs w:val="32"/>
              </w:rPr>
            </w:pPr>
          </w:p>
        </w:tc>
        <w:tc>
          <w:tcPr>
            <w:tcW w:w="4852" w:type="dxa"/>
            <w:vAlign w:val="center"/>
          </w:tcPr>
          <w:p w14:paraId="7C00ADC2">
            <w:pPr>
              <w:snapToGrid w:val="0"/>
              <w:jc w:val="center"/>
              <w:rPr>
                <w:rFonts w:ascii="Times New Roman" w:hAnsi="Times New Roman" w:cs="Times New Roman"/>
                <w:sz w:val="24"/>
                <w:szCs w:val="32"/>
              </w:rPr>
            </w:pPr>
            <w:r>
              <w:rPr>
                <w:rFonts w:hint="eastAsia" w:ascii="Times New Roman" w:hAnsi="Times New Roman" w:cs="Times New Roman"/>
                <w:sz w:val="24"/>
                <w:szCs w:val="32"/>
              </w:rPr>
              <w:t>其中：国家级科研平台</w:t>
            </w:r>
          </w:p>
        </w:tc>
        <w:tc>
          <w:tcPr>
            <w:tcW w:w="1824" w:type="dxa"/>
            <w:vAlign w:val="center"/>
          </w:tcPr>
          <w:p w14:paraId="4AFF05E1">
            <w:pPr>
              <w:snapToGrid w:val="0"/>
              <w:jc w:val="center"/>
              <w:rPr>
                <w:rFonts w:ascii="Times New Roman" w:hAnsi="Times New Roman" w:cs="Times New Roman"/>
                <w:sz w:val="24"/>
                <w:szCs w:val="32"/>
              </w:rPr>
            </w:pPr>
            <w:r>
              <w:rPr>
                <w:rFonts w:hint="eastAsia" w:ascii="Times New Roman" w:hAnsi="Times New Roman" w:cs="Times New Roman"/>
                <w:sz w:val="24"/>
                <w:szCs w:val="32"/>
              </w:rPr>
              <w:t>0</w:t>
            </w:r>
          </w:p>
        </w:tc>
        <w:tc>
          <w:tcPr>
            <w:tcW w:w="1836" w:type="dxa"/>
            <w:vAlign w:val="center"/>
          </w:tcPr>
          <w:p w14:paraId="613E8A40">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0</w:t>
            </w:r>
          </w:p>
        </w:tc>
        <w:tc>
          <w:tcPr>
            <w:tcW w:w="1836" w:type="dxa"/>
            <w:vAlign w:val="center"/>
          </w:tcPr>
          <w:p w14:paraId="64DAF72D">
            <w:pPr>
              <w:snapToGrid w:val="0"/>
              <w:jc w:val="center"/>
              <w:rPr>
                <w:rFonts w:hint="eastAsia"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w:t>
            </w:r>
          </w:p>
        </w:tc>
      </w:tr>
      <w:tr w14:paraId="68BB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32" w:type="dxa"/>
            <w:vMerge w:val="continue"/>
            <w:vAlign w:val="center"/>
          </w:tcPr>
          <w:p w14:paraId="30191E48">
            <w:pPr>
              <w:snapToGrid w:val="0"/>
              <w:jc w:val="center"/>
              <w:rPr>
                <w:rFonts w:ascii="Times New Roman" w:hAnsi="Times New Roman" w:cs="Times New Roman"/>
                <w:sz w:val="24"/>
                <w:szCs w:val="32"/>
              </w:rPr>
            </w:pPr>
          </w:p>
        </w:tc>
        <w:tc>
          <w:tcPr>
            <w:tcW w:w="812" w:type="dxa"/>
            <w:vAlign w:val="center"/>
          </w:tcPr>
          <w:p w14:paraId="7719D01F">
            <w:pPr>
              <w:snapToGrid w:val="0"/>
              <w:jc w:val="center"/>
              <w:rPr>
                <w:rFonts w:ascii="Times New Roman" w:hAnsi="Times New Roman" w:cs="Times New Roman"/>
                <w:sz w:val="24"/>
                <w:szCs w:val="32"/>
              </w:rPr>
            </w:pPr>
            <w:r>
              <w:rPr>
                <w:rFonts w:hint="eastAsia" w:ascii="Times New Roman" w:hAnsi="Times New Roman" w:cs="Times New Roman"/>
                <w:sz w:val="24"/>
                <w:szCs w:val="32"/>
              </w:rPr>
              <w:t>14</w:t>
            </w:r>
          </w:p>
        </w:tc>
        <w:tc>
          <w:tcPr>
            <w:tcW w:w="1564" w:type="dxa"/>
            <w:vMerge w:val="restart"/>
            <w:vAlign w:val="center"/>
          </w:tcPr>
          <w:p w14:paraId="2B15C993">
            <w:pPr>
              <w:snapToGrid w:val="0"/>
              <w:jc w:val="center"/>
              <w:rPr>
                <w:rFonts w:ascii="Times New Roman" w:hAnsi="Times New Roman" w:cs="Times New Roman"/>
                <w:sz w:val="24"/>
                <w:szCs w:val="32"/>
              </w:rPr>
            </w:pPr>
            <w:r>
              <w:rPr>
                <w:rFonts w:hint="eastAsia" w:ascii="Times New Roman" w:hAnsi="Times New Roman" w:cs="Times New Roman"/>
                <w:sz w:val="24"/>
                <w:szCs w:val="32"/>
              </w:rPr>
              <w:t>社会服务</w:t>
            </w:r>
          </w:p>
        </w:tc>
        <w:tc>
          <w:tcPr>
            <w:tcW w:w="4852" w:type="dxa"/>
            <w:vAlign w:val="center"/>
          </w:tcPr>
          <w:p w14:paraId="7D35382E">
            <w:pPr>
              <w:snapToGrid w:val="0"/>
              <w:jc w:val="center"/>
              <w:rPr>
                <w:rFonts w:ascii="Times New Roman" w:hAnsi="Times New Roman" w:cs="Times New Roman"/>
                <w:sz w:val="24"/>
                <w:szCs w:val="32"/>
              </w:rPr>
            </w:pPr>
            <w:r>
              <w:rPr>
                <w:rFonts w:hint="eastAsia" w:ascii="Times New Roman" w:hAnsi="Times New Roman" w:cs="Times New Roman"/>
                <w:sz w:val="24"/>
                <w:szCs w:val="32"/>
              </w:rPr>
              <w:t>横向项目合同金额（万元）</w:t>
            </w:r>
          </w:p>
        </w:tc>
        <w:tc>
          <w:tcPr>
            <w:tcW w:w="1824" w:type="dxa"/>
            <w:vAlign w:val="center"/>
          </w:tcPr>
          <w:p w14:paraId="63D62313">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23768.18</w:t>
            </w:r>
          </w:p>
        </w:tc>
        <w:tc>
          <w:tcPr>
            <w:tcW w:w="1836" w:type="dxa"/>
            <w:vAlign w:val="center"/>
          </w:tcPr>
          <w:p w14:paraId="65DBE17F">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30000</w:t>
            </w:r>
          </w:p>
        </w:tc>
        <w:tc>
          <w:tcPr>
            <w:tcW w:w="1836" w:type="dxa"/>
            <w:vAlign w:val="center"/>
          </w:tcPr>
          <w:p w14:paraId="46B2A042">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50000</w:t>
            </w:r>
          </w:p>
        </w:tc>
      </w:tr>
      <w:tr w14:paraId="31C2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2" w:type="dxa"/>
            <w:vMerge w:val="continue"/>
            <w:vAlign w:val="center"/>
          </w:tcPr>
          <w:p w14:paraId="532A32ED">
            <w:pPr>
              <w:snapToGrid w:val="0"/>
              <w:jc w:val="center"/>
              <w:rPr>
                <w:rFonts w:ascii="Times New Roman" w:hAnsi="Times New Roman" w:cs="Times New Roman"/>
                <w:sz w:val="24"/>
                <w:szCs w:val="32"/>
              </w:rPr>
            </w:pPr>
          </w:p>
        </w:tc>
        <w:tc>
          <w:tcPr>
            <w:tcW w:w="812" w:type="dxa"/>
            <w:vAlign w:val="center"/>
          </w:tcPr>
          <w:p w14:paraId="3AF02793">
            <w:pPr>
              <w:snapToGrid w:val="0"/>
              <w:jc w:val="center"/>
              <w:rPr>
                <w:rFonts w:ascii="Times New Roman" w:hAnsi="Times New Roman" w:cs="Times New Roman"/>
                <w:sz w:val="24"/>
                <w:szCs w:val="32"/>
              </w:rPr>
            </w:pPr>
            <w:r>
              <w:rPr>
                <w:rFonts w:hint="eastAsia" w:ascii="Times New Roman" w:hAnsi="Times New Roman" w:cs="Times New Roman"/>
                <w:sz w:val="24"/>
                <w:szCs w:val="32"/>
              </w:rPr>
              <w:t>15</w:t>
            </w:r>
          </w:p>
        </w:tc>
        <w:tc>
          <w:tcPr>
            <w:tcW w:w="1564" w:type="dxa"/>
            <w:vMerge w:val="continue"/>
            <w:vAlign w:val="center"/>
          </w:tcPr>
          <w:p w14:paraId="3CE5F1B1">
            <w:pPr>
              <w:snapToGrid w:val="0"/>
              <w:jc w:val="center"/>
              <w:rPr>
                <w:rFonts w:ascii="Times New Roman" w:hAnsi="Times New Roman" w:cs="Times New Roman"/>
                <w:sz w:val="24"/>
                <w:szCs w:val="32"/>
              </w:rPr>
            </w:pPr>
          </w:p>
        </w:tc>
        <w:tc>
          <w:tcPr>
            <w:tcW w:w="4852" w:type="dxa"/>
            <w:vAlign w:val="center"/>
          </w:tcPr>
          <w:p w14:paraId="7D72F3E3">
            <w:pPr>
              <w:snapToGrid w:val="0"/>
              <w:jc w:val="center"/>
              <w:rPr>
                <w:rFonts w:ascii="Times New Roman" w:hAnsi="Times New Roman" w:cs="Times New Roman"/>
                <w:sz w:val="24"/>
                <w:szCs w:val="32"/>
              </w:rPr>
            </w:pPr>
            <w:r>
              <w:rPr>
                <w:rFonts w:hint="eastAsia" w:ascii="Times New Roman" w:hAnsi="Times New Roman" w:cs="Times New Roman"/>
                <w:sz w:val="24"/>
                <w:szCs w:val="32"/>
              </w:rPr>
              <w:t>重大横向项目合同数（&gt;100万元）</w:t>
            </w:r>
          </w:p>
        </w:tc>
        <w:tc>
          <w:tcPr>
            <w:tcW w:w="1824" w:type="dxa"/>
            <w:vAlign w:val="center"/>
          </w:tcPr>
          <w:p w14:paraId="2C055E3A">
            <w:pPr>
              <w:snapToGrid w:val="0"/>
              <w:jc w:val="center"/>
              <w:rPr>
                <w:rFonts w:ascii="Times New Roman" w:hAnsi="Times New Roman" w:cs="Times New Roman"/>
                <w:sz w:val="24"/>
                <w:szCs w:val="32"/>
              </w:rPr>
            </w:pPr>
            <w:r>
              <w:rPr>
                <w:rFonts w:hint="eastAsia" w:ascii="Times New Roman" w:hAnsi="Times New Roman" w:cs="Times New Roman"/>
                <w:sz w:val="24"/>
                <w:szCs w:val="32"/>
              </w:rPr>
              <w:t>13</w:t>
            </w:r>
          </w:p>
        </w:tc>
        <w:tc>
          <w:tcPr>
            <w:tcW w:w="1836" w:type="dxa"/>
            <w:vAlign w:val="center"/>
          </w:tcPr>
          <w:p w14:paraId="2B354AFF">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15</w:t>
            </w:r>
          </w:p>
        </w:tc>
        <w:tc>
          <w:tcPr>
            <w:tcW w:w="1836" w:type="dxa"/>
            <w:vAlign w:val="center"/>
          </w:tcPr>
          <w:p w14:paraId="21C04CAE">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30</w:t>
            </w:r>
          </w:p>
        </w:tc>
      </w:tr>
      <w:tr w14:paraId="055C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2" w:type="dxa"/>
            <w:vMerge w:val="continue"/>
            <w:vAlign w:val="center"/>
          </w:tcPr>
          <w:p w14:paraId="6F500946">
            <w:pPr>
              <w:snapToGrid w:val="0"/>
              <w:jc w:val="center"/>
              <w:rPr>
                <w:rFonts w:ascii="Times New Roman" w:hAnsi="Times New Roman" w:cs="Times New Roman"/>
                <w:sz w:val="24"/>
                <w:szCs w:val="32"/>
              </w:rPr>
            </w:pPr>
          </w:p>
        </w:tc>
        <w:tc>
          <w:tcPr>
            <w:tcW w:w="812" w:type="dxa"/>
            <w:vAlign w:val="center"/>
          </w:tcPr>
          <w:p w14:paraId="6832D48C">
            <w:pPr>
              <w:snapToGrid w:val="0"/>
              <w:jc w:val="center"/>
              <w:rPr>
                <w:rFonts w:ascii="Times New Roman" w:hAnsi="Times New Roman" w:cs="Times New Roman"/>
                <w:sz w:val="24"/>
                <w:szCs w:val="32"/>
              </w:rPr>
            </w:pPr>
            <w:r>
              <w:rPr>
                <w:rFonts w:hint="eastAsia" w:ascii="Times New Roman" w:hAnsi="Times New Roman" w:cs="Times New Roman"/>
                <w:sz w:val="24"/>
                <w:szCs w:val="32"/>
              </w:rPr>
              <w:t>16</w:t>
            </w:r>
          </w:p>
        </w:tc>
        <w:tc>
          <w:tcPr>
            <w:tcW w:w="1564" w:type="dxa"/>
            <w:vMerge w:val="continue"/>
            <w:vAlign w:val="center"/>
          </w:tcPr>
          <w:p w14:paraId="6F1C8FB6">
            <w:pPr>
              <w:snapToGrid w:val="0"/>
              <w:jc w:val="center"/>
              <w:rPr>
                <w:rFonts w:ascii="Times New Roman" w:hAnsi="Times New Roman" w:cs="Times New Roman"/>
                <w:sz w:val="24"/>
                <w:szCs w:val="32"/>
              </w:rPr>
            </w:pPr>
          </w:p>
        </w:tc>
        <w:tc>
          <w:tcPr>
            <w:tcW w:w="4852" w:type="dxa"/>
            <w:vAlign w:val="center"/>
          </w:tcPr>
          <w:p w14:paraId="4345D4BE">
            <w:pPr>
              <w:snapToGrid w:val="0"/>
              <w:jc w:val="center"/>
              <w:rPr>
                <w:rFonts w:ascii="Times New Roman" w:hAnsi="Times New Roman" w:cs="Times New Roman"/>
                <w:sz w:val="24"/>
                <w:szCs w:val="32"/>
              </w:rPr>
            </w:pPr>
            <w:r>
              <w:rPr>
                <w:rFonts w:hint="eastAsia" w:ascii="Times New Roman" w:hAnsi="Times New Roman" w:cs="Times New Roman"/>
                <w:sz w:val="24"/>
                <w:szCs w:val="32"/>
              </w:rPr>
              <w:t>行业、地方标准</w:t>
            </w:r>
          </w:p>
        </w:tc>
        <w:tc>
          <w:tcPr>
            <w:tcW w:w="1824" w:type="dxa"/>
            <w:vAlign w:val="center"/>
          </w:tcPr>
          <w:p w14:paraId="6D68429B">
            <w:pPr>
              <w:snapToGrid w:val="0"/>
              <w:jc w:val="center"/>
              <w:rPr>
                <w:rFonts w:ascii="Times New Roman" w:hAnsi="Times New Roman" w:cs="Times New Roman"/>
                <w:sz w:val="24"/>
                <w:szCs w:val="32"/>
              </w:rPr>
            </w:pPr>
            <w:r>
              <w:rPr>
                <w:rFonts w:hint="eastAsia" w:ascii="Times New Roman" w:hAnsi="Times New Roman" w:cs="Times New Roman"/>
                <w:sz w:val="24"/>
                <w:szCs w:val="32"/>
              </w:rPr>
              <w:t>20</w:t>
            </w:r>
          </w:p>
        </w:tc>
        <w:tc>
          <w:tcPr>
            <w:tcW w:w="1836" w:type="dxa"/>
            <w:vAlign w:val="center"/>
          </w:tcPr>
          <w:p w14:paraId="7B83FAD5">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10</w:t>
            </w:r>
          </w:p>
        </w:tc>
        <w:tc>
          <w:tcPr>
            <w:tcW w:w="1836" w:type="dxa"/>
            <w:vAlign w:val="center"/>
          </w:tcPr>
          <w:p w14:paraId="3B7F7149">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25</w:t>
            </w:r>
          </w:p>
        </w:tc>
      </w:tr>
      <w:tr w14:paraId="257D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32" w:type="dxa"/>
            <w:vMerge w:val="continue"/>
            <w:vAlign w:val="center"/>
          </w:tcPr>
          <w:p w14:paraId="53A1319D">
            <w:pPr>
              <w:snapToGrid w:val="0"/>
              <w:jc w:val="center"/>
              <w:rPr>
                <w:rFonts w:ascii="Times New Roman" w:hAnsi="Times New Roman" w:cs="Times New Roman"/>
                <w:sz w:val="24"/>
                <w:szCs w:val="32"/>
              </w:rPr>
            </w:pPr>
          </w:p>
        </w:tc>
        <w:tc>
          <w:tcPr>
            <w:tcW w:w="812" w:type="dxa"/>
            <w:vAlign w:val="center"/>
          </w:tcPr>
          <w:p w14:paraId="253890F8">
            <w:pPr>
              <w:snapToGrid w:val="0"/>
              <w:jc w:val="center"/>
              <w:rPr>
                <w:rFonts w:ascii="Times New Roman" w:hAnsi="Times New Roman" w:cs="Times New Roman"/>
                <w:sz w:val="24"/>
                <w:szCs w:val="32"/>
              </w:rPr>
            </w:pPr>
            <w:r>
              <w:rPr>
                <w:rFonts w:hint="eastAsia" w:ascii="Times New Roman" w:hAnsi="Times New Roman" w:cs="Times New Roman"/>
                <w:sz w:val="24"/>
                <w:szCs w:val="32"/>
              </w:rPr>
              <w:t>17</w:t>
            </w:r>
          </w:p>
        </w:tc>
        <w:tc>
          <w:tcPr>
            <w:tcW w:w="1564" w:type="dxa"/>
            <w:vMerge w:val="continue"/>
            <w:vAlign w:val="center"/>
          </w:tcPr>
          <w:p w14:paraId="17FBACF2">
            <w:pPr>
              <w:snapToGrid w:val="0"/>
              <w:jc w:val="center"/>
              <w:rPr>
                <w:rFonts w:ascii="Times New Roman" w:hAnsi="Times New Roman" w:cs="Times New Roman"/>
                <w:sz w:val="24"/>
                <w:szCs w:val="32"/>
              </w:rPr>
            </w:pPr>
          </w:p>
        </w:tc>
        <w:tc>
          <w:tcPr>
            <w:tcW w:w="4852" w:type="dxa"/>
            <w:vAlign w:val="center"/>
          </w:tcPr>
          <w:p w14:paraId="15034C2B">
            <w:pPr>
              <w:snapToGrid w:val="0"/>
              <w:jc w:val="center"/>
              <w:rPr>
                <w:rFonts w:ascii="Times New Roman" w:hAnsi="Times New Roman" w:cs="Times New Roman"/>
                <w:sz w:val="24"/>
                <w:szCs w:val="32"/>
              </w:rPr>
            </w:pPr>
            <w:r>
              <w:rPr>
                <w:rFonts w:hint="eastAsia" w:ascii="Times New Roman" w:hAnsi="Times New Roman" w:cs="Times New Roman"/>
                <w:sz w:val="24"/>
                <w:szCs w:val="32"/>
              </w:rPr>
              <w:t>省部级及以上领导肯定性批示</w:t>
            </w:r>
          </w:p>
        </w:tc>
        <w:tc>
          <w:tcPr>
            <w:tcW w:w="1824" w:type="dxa"/>
            <w:vAlign w:val="center"/>
          </w:tcPr>
          <w:p w14:paraId="19B1B88B">
            <w:pPr>
              <w:snapToGrid w:val="0"/>
              <w:jc w:val="center"/>
              <w:rPr>
                <w:rFonts w:ascii="Times New Roman" w:hAnsi="Times New Roman" w:cs="Times New Roman"/>
                <w:sz w:val="24"/>
                <w:szCs w:val="32"/>
              </w:rPr>
            </w:pPr>
            <w:r>
              <w:rPr>
                <w:rFonts w:hint="eastAsia" w:ascii="Times New Roman" w:hAnsi="Times New Roman" w:cs="Times New Roman"/>
                <w:sz w:val="24"/>
                <w:szCs w:val="32"/>
              </w:rPr>
              <w:t>12</w:t>
            </w:r>
          </w:p>
        </w:tc>
        <w:tc>
          <w:tcPr>
            <w:tcW w:w="1836" w:type="dxa"/>
            <w:vAlign w:val="center"/>
          </w:tcPr>
          <w:p w14:paraId="0DC8C74D">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12</w:t>
            </w:r>
          </w:p>
        </w:tc>
        <w:tc>
          <w:tcPr>
            <w:tcW w:w="1836" w:type="dxa"/>
            <w:vAlign w:val="center"/>
          </w:tcPr>
          <w:p w14:paraId="6964EAEE">
            <w:pPr>
              <w:snapToGrid w:val="0"/>
              <w:jc w:val="center"/>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20</w:t>
            </w:r>
          </w:p>
        </w:tc>
      </w:tr>
    </w:tbl>
    <w:p w14:paraId="01AD052F">
      <w:pPr>
        <w:rPr>
          <w:rFonts w:hint="eastAsia"/>
        </w:rPr>
      </w:pPr>
    </w:p>
    <w:p w14:paraId="7E1F78D6">
      <w:pPr>
        <w:spacing w:line="520" w:lineRule="exact"/>
        <w:ind w:firstLine="640" w:firstLineChars="200"/>
        <w:rPr>
          <w:rFonts w:ascii="仿宋_GB2312" w:hAnsi="Times New Roman" w:eastAsia="仿宋_GB2312" w:cs="Times New Roman"/>
          <w:sz w:val="32"/>
          <w:szCs w:val="32"/>
        </w:rPr>
      </w:pPr>
    </w:p>
    <w:p w14:paraId="374AA9D4">
      <w:pPr>
        <w:spacing w:line="560" w:lineRule="exact"/>
        <w:ind w:firstLine="420" w:firstLineChars="200"/>
        <w:rPr>
          <w:rFonts w:hint="default" w:ascii="Times New Roman" w:hAnsi="Times New Roman" w:cs="Times New Roman"/>
        </w:rPr>
      </w:pPr>
    </w:p>
    <w:p w14:paraId="4D7F661E">
      <w:pPr>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z w:val="32"/>
          <w:szCs w:val="32"/>
          <w:lang w:val="en-US" w:eastAsia="zh-CN"/>
        </w:rPr>
        <w:br w:type="page"/>
      </w:r>
    </w:p>
    <w:p w14:paraId="531E83EC">
      <w:pPr>
        <w:spacing w:line="560" w:lineRule="exact"/>
        <w:rPr>
          <w:rFonts w:hint="default" w:ascii="Times New Roman" w:hAnsi="Times New Roman" w:cs="Times New Roman" w:eastAsiaTheme="majorEastAsia"/>
          <w:b/>
          <w:bCs/>
          <w:sz w:val="32"/>
          <w:szCs w:val="32"/>
        </w:rPr>
        <w:sectPr>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3C13793">
      <w:pPr>
        <w:jc w:val="left"/>
        <w:rPr>
          <w:rFonts w:hint="default" w:ascii="Times New Roman" w:hAnsi="Times New Roman" w:cs="Times New Roman"/>
          <w:b/>
          <w:bCs/>
          <w:sz w:val="28"/>
          <w:szCs w:val="36"/>
        </w:rPr>
      </w:pPr>
      <w:r>
        <w:rPr>
          <w:rFonts w:hint="default" w:ascii="Times New Roman" w:hAnsi="Times New Roman" w:cs="Times New Roman"/>
          <w:b/>
          <w:bCs/>
          <w:sz w:val="28"/>
          <w:szCs w:val="36"/>
        </w:rPr>
        <w:t>附件</w:t>
      </w:r>
      <w:r>
        <w:rPr>
          <w:rFonts w:hint="default" w:ascii="Times New Roman" w:hAnsi="Times New Roman" w:cs="Times New Roman"/>
          <w:b/>
          <w:bCs/>
          <w:sz w:val="28"/>
          <w:szCs w:val="36"/>
          <w:lang w:val="en-US" w:eastAsia="zh-CN"/>
        </w:rPr>
        <w:t>2</w:t>
      </w:r>
      <w:r>
        <w:rPr>
          <w:rFonts w:hint="default" w:ascii="Times New Roman" w:hAnsi="Times New Roman" w:cs="Times New Roman"/>
          <w:b/>
          <w:bCs/>
          <w:sz w:val="28"/>
          <w:szCs w:val="36"/>
        </w:rPr>
        <w:t>：“十五五”时期</w:t>
      </w:r>
      <w:r>
        <w:rPr>
          <w:rFonts w:hint="default" w:ascii="Times New Roman" w:hAnsi="Times New Roman" w:cs="Times New Roman"/>
          <w:b/>
          <w:bCs/>
          <w:sz w:val="28"/>
          <w:szCs w:val="36"/>
          <w:lang w:eastAsia="zh-CN"/>
        </w:rPr>
        <w:t>“</w:t>
      </w:r>
      <w:r>
        <w:rPr>
          <w:rFonts w:hint="default" w:ascii="Times New Roman" w:hAnsi="Times New Roman" w:cs="Times New Roman"/>
          <w:b/>
          <w:bCs/>
          <w:sz w:val="28"/>
          <w:szCs w:val="36"/>
        </w:rPr>
        <w:t>向海图强</w:t>
      </w:r>
      <w:r>
        <w:rPr>
          <w:rFonts w:hint="default" w:ascii="Times New Roman" w:hAnsi="Times New Roman" w:cs="Times New Roman"/>
          <w:b/>
          <w:bCs/>
          <w:sz w:val="28"/>
          <w:szCs w:val="36"/>
          <w:lang w:eastAsia="zh-CN"/>
        </w:rPr>
        <w:t>”</w:t>
      </w:r>
      <w:r>
        <w:rPr>
          <w:rFonts w:hint="default" w:ascii="Times New Roman" w:hAnsi="Times New Roman" w:cs="Times New Roman"/>
          <w:b/>
          <w:bCs/>
          <w:sz w:val="28"/>
          <w:szCs w:val="36"/>
        </w:rPr>
        <w:t>科技创新重点任务</w:t>
      </w:r>
    </w:p>
    <w:p w14:paraId="61CA0BB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、海洋科学与技术领域</w:t>
      </w:r>
    </w:p>
    <w:p w14:paraId="102DE68C">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 近岸海洋综合调查能力提升。</w:t>
      </w:r>
      <w:r>
        <w:rPr>
          <w:rFonts w:hint="default" w:ascii="Times New Roman" w:hAnsi="Times New Roman" w:eastAsia="仿宋_GB2312" w:cs="Times New Roman"/>
          <w:sz w:val="32"/>
          <w:szCs w:val="32"/>
        </w:rPr>
        <w:t>围绕南海资源开发与生态安全保障需求，实施“近岸海洋综合调查”工程，加快推进南海近岸海洋综合调查中心建设。积极争取国债等项目支持，完善海洋调查船、无人艇、海底观测网等装备体系，构建“空—天—地—海”一体化调查能力。系统开展近岸海底地形、水文气象、生态环境与生物资源等多学科综合调查，建立南海近岸基础数据库与信息服务共享平台，全面提升海洋资源环境本底数据获取与决策支撑能力，为承接国家新一轮海洋调查任务提供坚实保障</w:t>
      </w:r>
      <w:r>
        <w:rPr>
          <w:rFonts w:hint="eastAsia" w:ascii="Times New Roman" w:hAnsi="Times New Roman" w:eastAsia="仿宋_GB2312" w:cs="Times New Roman"/>
          <w:sz w:val="32"/>
          <w:szCs w:val="32"/>
          <w:lang w:eastAsia="zh-CN"/>
        </w:rPr>
        <w:t>。</w:t>
      </w:r>
    </w:p>
    <w:p w14:paraId="66E9CF06">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2.卫星海洋动力监测预警全链条研究。</w:t>
      </w:r>
      <w:r>
        <w:rPr>
          <w:rFonts w:hint="default" w:ascii="Times New Roman" w:hAnsi="Times New Roman" w:eastAsia="仿宋_GB2312" w:cs="Times New Roman"/>
          <w:sz w:val="32"/>
          <w:szCs w:val="32"/>
        </w:rPr>
        <w:t>围绕南海海洋灾害预警、航运安全保障与气候响应研究需求，构建以“热海一号”等自主卫星为核心的天基海洋观测体系，发展海流、海浪、海面风场等高精度反演算法。突破多源卫星数据融合、海洋动力过程智能识别与预报等关键技术，建立从遥感监测、数据同化到数值预报的全链条预警技术体系，形成覆盖南海主要航道及灾害易发区的立体化监测预警能力，提升海洋极端天气与动力环境变化的响应水平。</w:t>
      </w:r>
    </w:p>
    <w:p w14:paraId="5DAFEC80">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3.深水油气与天然气水合物创新技术。</w:t>
      </w:r>
      <w:r>
        <w:rPr>
          <w:rFonts w:hint="default" w:ascii="Times New Roman" w:hAnsi="Times New Roman" w:eastAsia="仿宋_GB2312" w:cs="Times New Roman"/>
          <w:sz w:val="32"/>
          <w:szCs w:val="32"/>
        </w:rPr>
        <w:t>围绕南海深水区油气与天然气水合物（“可燃冰”）等战略资源的勘探开发需求，重点开展深水深层油气藏精细描述、超深水钻完井工程安全、及天然气水合物安全高效开采等关键技术创新。研发深水高压井控制、智能钻完井、水下生产系统优化等核心技术，构建“地质-工程一体化”的深水油气田高效开发模式。同时，突破天然气水合物成藏机理识别、试采流动保障及环境效应监测等关键技术，推动深海非常规能源的商业化开发，为我国深海资源自主开发提供完整技术体系和装备支撑。</w:t>
      </w:r>
    </w:p>
    <w:p w14:paraId="3533B516">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4.海洋化学过程与资源化技术。</w:t>
      </w:r>
      <w:r>
        <w:rPr>
          <w:rFonts w:hint="default" w:ascii="Times New Roman" w:hAnsi="Times New Roman" w:eastAsia="仿宋_GB2312" w:cs="Times New Roman"/>
          <w:sz w:val="32"/>
          <w:szCs w:val="32"/>
        </w:rPr>
        <w:t>系统研究南海碳、氮、磷等生源要素的分布、迁移与循环机制，阐明陆源输入、人类活动与海洋自净作用的耦合关系。研发新型海洋污染物（微塑料、新型持久性有机物等）的溯源、监测与控制技术，探索海水化学资源提取、海水综合利用与低碳淡化等绿色技术路径，推动海洋化学过程认知向污染治理、资源循环与生态修复应用转化，服务于南海环境质量提升与蓝色经济发展。</w:t>
      </w:r>
    </w:p>
    <w:p w14:paraId="568FD3DD">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5.岛礁工程与海岸带动力地貌。</w:t>
      </w:r>
      <w:r>
        <w:rPr>
          <w:rFonts w:hint="default" w:ascii="Times New Roman" w:hAnsi="Times New Roman" w:eastAsia="仿宋_GB2312" w:cs="Times New Roman"/>
          <w:sz w:val="32"/>
          <w:szCs w:val="32"/>
        </w:rPr>
        <w:t>聚焦岛礁工程与海岸带动力地貌研究，围绕岛礁工程地质、生态加固与稳定性、海洋生态修复、绿色低碳建材等方向开展系统性工作。通过地质勘察、原位监测与室内力学试验等技术手段，解决岛礁工程建设、生态保护与安全保障中的关键技术难题，支撑岛礁绿色可持续高质量发展。</w:t>
      </w:r>
    </w:p>
    <w:p w14:paraId="60AF664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、热带海洋生物与渔业领域</w:t>
      </w:r>
    </w:p>
    <w:p w14:paraId="7280A808">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1.热带水产南繁种业核心技术攻关</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开展热带海水鱼类、藻类、贝类等特色种质资源系统调查与挖掘，建立热带水产种质资源库；融合分子标记辅助育种、基因编辑等现代生物技术，开展精准育种研究，培育石斑鱼、金鲳鱼、条斑紫菜等优质高产抗逆新品系；研发热带水产种苗工厂化繁育技术，建立标准化育苗体系，提升水产南繁种业自主创新能力和产业化水平。</w:t>
      </w:r>
    </w:p>
    <w:p w14:paraId="1C03E9E0">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2.深远海热带水产养殖技术研发</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对标海南海洋渔业 “往深海走” 发展战略，开展深远海网箱、工船等装备化养殖技术研究，研发适配热带海域高温、高盐、多台风环境的养殖装备与模式；攻关深远海热带水产养殖水体环境调控、重大病害绿色防控、精准投喂等关键技术，构建深远海热带水产智能化养殖技术体系；开展热带海洋牧场建设与产业化研究，研发人工鱼礁、海藻床构建技术，打造兼具渔业生产与生态保护功能的热带海洋牧场。</w:t>
      </w:r>
    </w:p>
    <w:p w14:paraId="2E1CEC92">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3.南海海洋珍稀生物资源保护及生态修复</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依托海南省海龟救助保育中心，开展海龟繁殖生态、栖息地保护、伤病个体救护等研究，建立海龟等珍稀海洋生物监测与保育体系；开展海蛇、苏眉鱼、砗磲等南海珍稀水产动物人工繁育技术攻关，提升野外种群恢复能力；研究珍稀水产生物与养殖环境的协同保护技术，为海南热带海洋国家公园筹建提供水产领域技术支撑。</w:t>
      </w:r>
    </w:p>
    <w:p w14:paraId="6A4B49EB">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4.热带水产资源高值化利用与产业升级</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开展热带水产养殖主品种加工副产物高值化利用研究，研发绿色提取、生物转化等关键技术，开发功能性食品、海洋生物饲料、生物医药原料等产品；开展热带海洋生物活性物质挖掘与利用研究，构建海洋生物活性物质库；推动热带水产产业链延链补链强链，助力海南热带水产产业向高端化、智能化、绿色化转型。</w:t>
      </w:r>
    </w:p>
    <w:p w14:paraId="40278B5C">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5.热带水产养殖生态环境协同保护</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开展海南近岸养殖水域生态环境调查与评价，研究养殖尾水生态化治理技术，建立养殖尾水资源化利用模式；开展水产养殖与海洋生态保护协同发展研究，构建 “生态养殖 + 生态修复” 的热带水产养殖新模式；研究气候变化对热带水产养殖的影响，建立风险预警体系，提升热带水产养殖产业的抗风险能力。</w:t>
      </w:r>
    </w:p>
    <w:p w14:paraId="4142B3F7">
      <w:pPr>
        <w:spacing w:line="560" w:lineRule="exact"/>
        <w:ind w:firstLine="643" w:firstLineChars="200"/>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sz w:val="32"/>
          <w:szCs w:val="32"/>
        </w:rPr>
        <w:t>、海洋生态与环境领域</w:t>
      </w:r>
    </w:p>
    <w:p w14:paraId="36FED5E2">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1.海洋污染物全链条防控与治理。</w:t>
      </w:r>
      <w:r>
        <w:rPr>
          <w:rFonts w:hint="default" w:ascii="Times New Roman" w:hAnsi="Times New Roman" w:eastAsia="仿宋_GB2312" w:cs="Times New Roman"/>
          <w:sz w:val="32"/>
          <w:szCs w:val="32"/>
        </w:rPr>
        <w:t>构建覆盖新污染物（微塑料、抗生素、持久性有机污染物等）的高通量监测与标准体系，开展从流域至海洋的多介质环境中污染物赋存、迁移转化、生物富集与生态毒理全过程研究。研发养殖尾水中氮磷、抗生素等污染物的监测评估与资源化治理技术，推动技术集成与示范应用。建立海南岛典型城市海岸塑料垃圾时空分布数据库，构建陆源塑料垃圾入海通量模型，绘制海洋垃圾泄漏热点地图。积极推进生态环境野外科学观测站合作建设。</w:t>
      </w:r>
    </w:p>
    <w:p w14:paraId="6960200E">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2.海洋环境监测与生态风险预警。</w:t>
      </w:r>
      <w:r>
        <w:rPr>
          <w:rFonts w:hint="default" w:ascii="Times New Roman" w:hAnsi="Times New Roman" w:eastAsia="仿宋_GB2312" w:cs="Times New Roman"/>
          <w:sz w:val="32"/>
          <w:szCs w:val="32"/>
        </w:rPr>
        <w:t>围绕海南近岸海域环境安全与生态风险防控需求，聚焦陆海界面与区域特征污染因素的识别、监测与风险评估。通过融合海洋环境监测、生态调查及社会经济活动等多源数据，构建涵盖环境、生态、渔业与人文因素的综合数据库。结合区域气候与海洋动力特征，研究台风等极端天气对污染输移及环境风险演化的影响机制；解析污染压力对珊瑚、海草床等标志性生态系统的胁迫效应，建立生态风险预警模型，为近岸生态保护与精准防控提供支撑。</w:t>
      </w:r>
    </w:p>
    <w:p w14:paraId="27BABAF0">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3.海洋蓝碳与修复增汇。</w:t>
      </w:r>
      <w:r>
        <w:rPr>
          <w:rFonts w:hint="default" w:ascii="Times New Roman" w:hAnsi="Times New Roman" w:eastAsia="仿宋_GB2312" w:cs="Times New Roman"/>
          <w:sz w:val="32"/>
          <w:szCs w:val="32"/>
        </w:rPr>
        <w:t>系统研究红树林、海草床、珊瑚礁等典型蓝碳生态系统的碳固定、储存与释放过程，阐明其碳汇形成的生物地球化学机制及对全球碳循环的贡献。构建多尺度碳汇监测与核算方法学，研发提升碳汇效率的工程化与生态化技术路径。推进红树林、海草床和珊瑚礁生态修复，探索人工增汇与自然恢复的协同模式，形成可量化、可验证的碳汇提升技术体系，为国家“双碳”战略提供科学支撑。</w:t>
      </w:r>
    </w:p>
    <w:p w14:paraId="41A25AB6">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4.海洋牧场构建与生物资源利用。</w:t>
      </w:r>
      <w:r>
        <w:rPr>
          <w:rFonts w:hint="default" w:ascii="Times New Roman" w:hAnsi="Times New Roman" w:eastAsia="仿宋_GB2312" w:cs="Times New Roman"/>
          <w:sz w:val="32"/>
          <w:szCs w:val="32"/>
        </w:rPr>
        <w:t>开展热带海洋生物资源调查，建设特色功能微生物种质资源库，推动其创新与产业化应用。研发适应高温、高盐与灾害频发环境的现代海洋牧场构建技术，阐明人工鱼礁、海藻床等对生物资源的诱集、庇护机制及珊瑚礁-牧场系统的能量流动规律。探明水文条件对群落结构的调控作用与生境修复中的群落演替机制，建立兼顾渔业生产与碳汇功能的热带海洋牧场生态养殖模式，建设碳汇示范基地并推动实海况规模化应用。</w:t>
      </w:r>
    </w:p>
    <w:p w14:paraId="0C7EC393">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、海洋生物资源高值化利用领域</w:t>
      </w:r>
    </w:p>
    <w:p w14:paraId="76218E8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1.海洋动物高值化利用关键技术研发。</w:t>
      </w:r>
      <w:r>
        <w:rPr>
          <w:rFonts w:hint="default" w:ascii="Times New Roman" w:hAnsi="Times New Roman" w:eastAsia="仿宋_GB2312" w:cs="Times New Roman"/>
          <w:sz w:val="32"/>
          <w:szCs w:val="32"/>
        </w:rPr>
        <w:t>以服务 “蓝色粮仓”“健康中国 2030” 等国家战略为导向，围绕海南金鲳鱼、罗非鱼等特色水生动物资源，针对大宗鱼类价格低廉、精深加工技术匮乏等行业痛点，融合超高压处理、超低温破碎等现代绿色加工技术，研发方便安全、营养功能化的系列产品。聚焦鱼类加工副产物高值化利用，运用生物技术、超临界萃取等绿色技术，开发功能性油脂与蛋白，助力海南水产行业现代化产业体系构建。</w:t>
      </w:r>
    </w:p>
    <w:p w14:paraId="0064DC3C">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2.海南特色热带食品生物技术平台建设。</w:t>
      </w:r>
      <w:r>
        <w:rPr>
          <w:rFonts w:hint="default" w:ascii="Times New Roman" w:hAnsi="Times New Roman" w:eastAsia="仿宋_GB2312" w:cs="Times New Roman"/>
          <w:sz w:val="32"/>
          <w:szCs w:val="32"/>
        </w:rPr>
        <w:t>依托生物与医药专业博士点建设契机，整合中国海洋大学崖州湾研究院等科研机构及涉海企业资源，聚焦南海海洋微生物、热带食品微生物等资源开发利用，搭建生物合成功能性脂质、海洋源小分子及海南特色热带食品生物技术创新平台。破解海南省生物制造产业科技力量薄弱、高层次人才短缺难题，推动生物制造产业在食品、海洋、医药等行业补链强链延链。</w:t>
      </w:r>
    </w:p>
    <w:p w14:paraId="38619688">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3.热带海洋与雨林特色资源协同利用。</w:t>
      </w:r>
      <w:r>
        <w:rPr>
          <w:rFonts w:hint="default" w:ascii="Times New Roman" w:hAnsi="Times New Roman" w:eastAsia="仿宋_GB2312" w:cs="Times New Roman"/>
          <w:sz w:val="32"/>
          <w:szCs w:val="32"/>
        </w:rPr>
        <w:t>构建 “海洋—雨林”双源融合的资源创新体系，聚焦南海海洋深层水与海南热带雨林特色生物资源协同开发，重点研究深层水矿物质及雨林生物活性物质挖掘与利用技术。突破绿色提取、稳态递送等关键技术，系统开发增强免疫、调节代谢等复合功能的功能饮品、特医食品等系列高附加值产品。整合双源生物活性优势，推动功能产品创制与产业化，助力海南热带特色资源高值化、可持续发展。</w:t>
      </w:r>
    </w:p>
    <w:p w14:paraId="12D8A3BF">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4.海洋植物资源高值化利用关键技术研发。</w:t>
      </w:r>
      <w:r>
        <w:rPr>
          <w:rFonts w:hint="default" w:ascii="Times New Roman" w:hAnsi="Times New Roman" w:eastAsia="仿宋_GB2312" w:cs="Times New Roman"/>
          <w:sz w:val="32"/>
          <w:szCs w:val="32"/>
        </w:rPr>
        <w:t>聚焦海洋生物活性物质挖掘、热带藻类（微藻）资源高值化利用，构建热带藻类（微藻）种质资源库，开展藻种筛选、鉴定、保藏、育种以及生物源功能成分分离纯化鉴定与作用机制研究。突破藻类（微藻）生物质能、活性多糖规模化制备及绿色提取、生物转化、微藻底盘细胞生物制造等关键技术，推动海洋植物活性物质在功能食品、生态材料、固碳、生态修复等领域的应用，探索基于生物技术的海洋植物资源可持续利用路径。</w:t>
      </w:r>
    </w:p>
    <w:p w14:paraId="1C0E8B10">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、海洋装备与信息化领域</w:t>
      </w:r>
    </w:p>
    <w:p w14:paraId="00BC5FE8">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1.海洋牧场智能作业装备与系统。</w:t>
      </w:r>
      <w:r>
        <w:rPr>
          <w:rFonts w:hint="default" w:ascii="Times New Roman" w:hAnsi="Times New Roman" w:eastAsia="仿宋_GB2312" w:cs="Times New Roman"/>
          <w:sz w:val="32"/>
          <w:szCs w:val="32"/>
        </w:rPr>
        <w:t>融合物联网、人工智能与水下通信技术，重点研发海洋牧场智能化控制系统、巡检无人船与 ROV 协同作业系统，攻克无人平台自主路径规划、多设备协同控制、水下目标精准识别等关键技术。研制网箱远程控制清洗、修补机器人装备，突破水下密封作业、自适应姿态调整等技术瓶颈，构建海洋牧场 “感知 - 决策 - 作业” 一体化智能运维体系，开展规模化示范应用。</w:t>
      </w:r>
    </w:p>
    <w:p w14:paraId="7D61EB5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2.智慧养殖信息化软件平台研发。</w:t>
      </w:r>
      <w:r>
        <w:rPr>
          <w:rFonts w:hint="default" w:ascii="Times New Roman" w:hAnsi="Times New Roman" w:eastAsia="仿宋_GB2312" w:cs="Times New Roman"/>
          <w:sz w:val="32"/>
          <w:szCs w:val="32"/>
        </w:rPr>
        <w:t>聚焦南海智慧养殖产业需求，开发集海洋环境数据实时监测、鱼病智能监控预警、养殖生产决策分析于一体的信息化软件系统。突破多源异构数据融合、养殖病害早期识别、精准投喂策略优化等核心算法，建立适配海南热带海域特点的养殖大数据模型，实现养殖全流程数字化管理与智能化决策，为南海深远海养殖提供技术支撑。</w:t>
      </w:r>
    </w:p>
    <w:p w14:paraId="36F7C25A">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3.海港安全监测系统。</w:t>
      </w:r>
      <w:r>
        <w:rPr>
          <w:rFonts w:hint="default" w:ascii="Times New Roman" w:hAnsi="Times New Roman" w:eastAsia="仿宋_GB2312" w:cs="Times New Roman"/>
          <w:sz w:val="32"/>
          <w:szCs w:val="32"/>
        </w:rPr>
        <w:t>开展被动式隐身雷达应用研究，基于太赫兹波在复杂海洋环境下的传输特性，研发对空、对海电磁扰动一体化监测系统。构建海港全域安全监测预警平台，实现对无人机、水下小型舰船及异常电磁信号的实时探测与智能研判，推动相关装备的工程化研制与产业化应用，筑牢南海海港安全屏障。</w:t>
      </w:r>
    </w:p>
    <w:p w14:paraId="2DDB1CE6">
      <w:pPr>
        <w:widowControl/>
        <w:shd w:val="clear" w:color="auto" w:fill="FFFFFF"/>
        <w:spacing w:line="560" w:lineRule="exact"/>
        <w:ind w:firstLine="643" w:firstLineChars="200"/>
        <w:rPr>
          <w:rFonts w:hint="default" w:ascii="Times New Roman" w:hAnsi="Times New Roman" w:eastAsia="方正仿宋_GB2312" w:cs="Times New Roman"/>
          <w:sz w:val="32"/>
          <w:szCs w:val="32"/>
        </w:rPr>
      </w:pPr>
      <w:r>
        <w:rPr>
          <w:rFonts w:hint="default" w:ascii="Times New Roman" w:hAnsi="Times New Roman" w:eastAsia="仿宋_GB2312" w:cs="Times New Roman"/>
          <w:b/>
          <w:bCs/>
          <w:sz w:val="32"/>
          <w:szCs w:val="32"/>
        </w:rPr>
        <w:t>4.海洋装备关键核心小件研发。</w:t>
      </w:r>
      <w:r>
        <w:rPr>
          <w:rFonts w:hint="default" w:ascii="Times New Roman" w:hAnsi="Times New Roman" w:eastAsia="仿宋_GB2312" w:cs="Times New Roman"/>
          <w:sz w:val="32"/>
          <w:szCs w:val="32"/>
        </w:rPr>
        <w:t>针对南海海洋装备高盐雾、强腐蚀、大载荷的应用需求，重点研发水下密封件、微型传感器、高精度执行器等关键小件。突破特种材料制备、精密加工与可靠性测试技术，建立适配海洋极端环境的产品标准与检测体系。加强产学研协同，推动关键小件的国产化替代与规模化生产，完善海洋装备产业链配套能力。</w:t>
      </w:r>
    </w:p>
    <w:p w14:paraId="49F07AFF">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、海洋交通运输领域</w:t>
      </w:r>
    </w:p>
    <w:p w14:paraId="2A086195">
      <w:pPr>
        <w:widowControl/>
        <w:shd w:val="clear" w:color="auto" w:fill="FFFFFF"/>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1.海上交通安全智能预警技术创新。</w:t>
      </w:r>
      <w:r>
        <w:rPr>
          <w:rFonts w:hint="eastAsia" w:ascii="Times New Roman" w:hAnsi="Times New Roman" w:eastAsia="仿宋_GB2312" w:cs="Times New Roman"/>
          <w:sz w:val="32"/>
          <w:szCs w:val="32"/>
        </w:rPr>
        <w:t>融合大数据与 AI 风险评估模型，构建海上监测与 AI综合分析平台，发展应急处置调度、海上通航环境智能监测、船舶碰撞 / 搁浅等风险精准预判技术，构建全链条安全预警体系，助力交通运输领域航行安全保障。 研究南海特殊海况下的航行风险预警、船舶应急通信、海上人命救助与污染应急处置一体化技术体系。</w:t>
      </w:r>
    </w:p>
    <w:p w14:paraId="1E944FEC">
      <w:pPr>
        <w:widowControl/>
        <w:shd w:val="clear" w:color="auto" w:fill="FFFFFF"/>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2.水路载运工具智能运维技术研发。</w:t>
      </w:r>
      <w:r>
        <w:rPr>
          <w:rFonts w:hint="eastAsia" w:ascii="Times New Roman" w:hAnsi="Times New Roman" w:eastAsia="仿宋_GB2312" w:cs="Times New Roman"/>
          <w:sz w:val="32"/>
          <w:szCs w:val="32"/>
        </w:rPr>
        <w:t>融合人工智能、大数据与深海机器人技术，聚焦船舶、水下运输装备等水路载运工具，攻关船体水下结构智能检测、关键部件状态监测、故障预警与远程维修等核心技术，研发适配复杂海域的水下运维机器人系统，提升水路载运工具运维效率与安全性。开展复杂环境下船舶态势智能感知、航线自主规划、避碰决策算法研究，研发基于数字孪生的船舶操控仿真与验证平台，研究航运碳排放监测与交易机制。</w:t>
      </w:r>
    </w:p>
    <w:p w14:paraId="3ACACC74">
      <w:pPr>
        <w:widowControl/>
        <w:shd w:val="clear" w:color="auto" w:fill="FFFFFF"/>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3.港航协同智能规划管理技术突破。</w:t>
      </w:r>
      <w:r>
        <w:rPr>
          <w:rFonts w:hint="eastAsia" w:ascii="Times New Roman" w:hAnsi="Times New Roman" w:eastAsia="仿宋_GB2312" w:cs="Times New Roman"/>
          <w:sz w:val="32"/>
          <w:szCs w:val="32"/>
        </w:rPr>
        <w:t>依托交通运输规划与管理理论，整合航运货流、旅游客流、港口资源等多源数据，运用 AI 算法优化港口泊位调度、航线规划及港口集疏运体系布局。聚焦滨海旅游航运需求，研发潮汐式客流 / 货流自适应调度模型，实现港航资源高效配置与交旅运输协同升级。</w:t>
      </w:r>
    </w:p>
    <w:p w14:paraId="11124F11">
      <w:pPr>
        <w:widowControl/>
        <w:shd w:val="clear" w:color="auto" w:fill="FFFFFF"/>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4.海事规则与海南自贸港航运政策创新。</w:t>
      </w:r>
      <w:r>
        <w:rPr>
          <w:rFonts w:hint="eastAsia" w:ascii="Times New Roman" w:hAnsi="Times New Roman" w:eastAsia="仿宋_GB2312" w:cs="Times New Roman"/>
          <w:sz w:val="32"/>
          <w:szCs w:val="32"/>
        </w:rPr>
        <w:t>结合海南自贸港建设发展实际，聚焦 RCEP 等国际规则体系下的行业发展趋势，深入研究适配自贸港建设的海南航运开放政策，探索构建贴合区域发展的海事纠纷多元化解决机制，分析国际船员市场规制现状与发展趋势，挖掘其中蕴含的海南自贸港发展机遇。</w:t>
      </w:r>
    </w:p>
    <w:p w14:paraId="0B32B984">
      <w:pPr>
        <w:widowControl/>
        <w:shd w:val="clear" w:color="auto" w:fill="FFFFFF"/>
        <w:spacing w:line="56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bCs/>
          <w:sz w:val="32"/>
          <w:szCs w:val="32"/>
        </w:rPr>
        <w:t>5.陆海统筹运输多智能体协同管控。</w:t>
      </w:r>
      <w:r>
        <w:rPr>
          <w:rFonts w:hint="eastAsia" w:ascii="Times New Roman" w:hAnsi="Times New Roman" w:eastAsia="仿宋_GB2312" w:cs="Times New Roman"/>
          <w:sz w:val="32"/>
          <w:szCs w:val="32"/>
        </w:rPr>
        <w:t>围绕陆海统筹交通运输体系高效协同运行需求，聚焦陆域交通网络与海上运输系统在运行规则、信息交互及时空尺度上的异质异构难题，融合车路云一体化动态数据、港口物流信息、船舶自动识别系统及多模式联程出行数据，基于交通大模型实现复杂场景下运输组织方案的智能生成与动态优化。研究无人驾驶环境下“岸-船-车”多智能体协同机理，构建分布式自主决策与协同控制架构，形成陆海统筹交通系统协同管控能力，为综合交通运输体系高效运行提供技术支撑。</w:t>
      </w:r>
    </w:p>
    <w:p w14:paraId="325CAF3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七、海洋信息处理与自贸港前沿交叉创新领域</w:t>
      </w:r>
    </w:p>
    <w:p w14:paraId="6FD7C688">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1.智慧海洋牧场一站式解决方案。</w:t>
      </w:r>
      <w:r>
        <w:rPr>
          <w:rFonts w:hint="default" w:ascii="Times New Roman" w:hAnsi="Times New Roman" w:eastAsia="仿宋_GB2312" w:cs="Times New Roman"/>
          <w:sz w:val="32"/>
          <w:szCs w:val="32"/>
        </w:rPr>
        <w:t>智慧海洋牧场一站式解决方案以“全域感知+全景融合+数据驱动”为核心理念，聚焦破解传统海洋牧场“环境复杂多变、养殖家底不清、生产依赖经验人力、自然灾害风险难规避”等核心痛点，构建覆盖陆基、近海与深远海的全场景智能化管控体系。方案整合物联网感知、多源遥感、AI决策、智能装备等关键技术，打造“空天海地”多模态立体化数据资源体系，通过“感知分析决策执行监管”全链路闭环管理，推动海洋牧场实现立体化、智能化、少人化转型，为“智慧海上粮仓”建设提供全流程技术支撑，助力数字经济与海洋渔业深度融合。通过图像识别、水质参数分析等技术，建立完善的海洋牧场信息化分析系统，为海洋牧场信息化数据应用提供技术服务。</w:t>
      </w:r>
    </w:p>
    <w:p w14:paraId="6916F166">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2.基于人工智能技术珊瑚礁生态系统在线监测与生态保护及修复。</w:t>
      </w:r>
      <w:r>
        <w:rPr>
          <w:rFonts w:hint="default" w:ascii="Times New Roman" w:hAnsi="Times New Roman" w:eastAsia="仿宋_GB2312" w:cs="Times New Roman"/>
          <w:sz w:val="32"/>
          <w:szCs w:val="32"/>
        </w:rPr>
        <w:t>应用水下机器人采集珊瑚礁生态系统图像数据，建立珊瑚礁生态系统在线监测信息化系统，监控珊瑚礁健康状态。通过图像识别技术分析珊瑚种类和数量，构建AI珊瑚礁生态系统景观地图。建立珊瑚礁生态系统资源调查模型与技术，以及动态的健康评价和修复效果评价体系。构建珊瑚礁生态系统健康评价、珊瑚病害研究和修复效果评价的指标体系。开展珊瑚礁生态保护、修复工程。</w:t>
      </w:r>
    </w:p>
    <w:p w14:paraId="706CF3E5">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3.智慧渔业信息化系统开发与应用。</w:t>
      </w:r>
      <w:r>
        <w:rPr>
          <w:rFonts w:hint="default" w:ascii="Times New Roman" w:hAnsi="Times New Roman" w:eastAsia="仿宋_GB2312" w:cs="Times New Roman"/>
          <w:sz w:val="32"/>
          <w:szCs w:val="32"/>
        </w:rPr>
        <w:t>智慧渔业信息化系统通过深度融合物联网、大数据、AI等新一代信息技术，实现对渔业生产过程中各项指标的监测、管理和优化的系统。通过安装在渔船、养殖池或渔网中的传感器，实时监测水质、水温、氧气含量、鱼群数量等信息，为渔民提供准确的数据支持。通过无线传输或互联网技术，将传感器采集到的数据传输至数据中心，并进行实时处理和分析。运用大数据分析技术和人工智能算法，对海洋环境、鱼群生长状况、气象预测等进行模型建立和预测分析，为渔业生产决策提供科学依据。将传感器、数据处理、大数据分析等技术进行整合，开发出智慧渔业信息系统，并将其应用于渔业生产过程中的各个环节。</w:t>
      </w:r>
    </w:p>
    <w:p w14:paraId="5BC73A8F">
      <w:pPr>
        <w:widowControl/>
        <w:shd w:val="clear" w:color="auto" w:fill="FFFFFF"/>
        <w:spacing w:line="560" w:lineRule="exact"/>
        <w:ind w:firstLine="643"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4.利用海洋数据正构建起认知深蓝的智慧图谱。</w:t>
      </w:r>
      <w:r>
        <w:rPr>
          <w:rFonts w:hint="eastAsia" w:ascii="Times New Roman" w:hAnsi="Times New Roman" w:eastAsia="仿宋_GB2312" w:cs="Times New Roman"/>
          <w:sz w:val="32"/>
          <w:szCs w:val="32"/>
          <w:lang w:val="en-US" w:eastAsia="zh-CN"/>
        </w:rPr>
        <w:t>利用卫星星座、海底观测网与智能浮标编织的数字神经网络，实时捕捉着潮汐的脉动，通过数据立方体技术重构了四维海洋时空模型。利用人工智能理解流体力学算法并解析洋流密码；采用区块链确权的生态数据链正重塑蓝色经济新范式；通过台风眼形成的亚秒级预警，跨洋航运的数字孪生推演，基于数据智能浪潮解构海洋，绘制海洋数字航海蓝图。</w:t>
      </w:r>
    </w:p>
    <w:p w14:paraId="039CF7C8">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、海洋与自贸港前沿交叉创新领域</w:t>
      </w:r>
    </w:p>
    <w:p w14:paraId="37DA7811">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1.数智融合赋能现代服务业与海洋治理的前沿数学创新。</w:t>
      </w:r>
      <w:r>
        <w:rPr>
          <w:rFonts w:hint="default" w:ascii="Times New Roman" w:hAnsi="Times New Roman" w:eastAsia="仿宋_GB2312" w:cs="Times New Roman"/>
          <w:sz w:val="32"/>
          <w:szCs w:val="32"/>
        </w:rPr>
        <w:t>聚焦数学技术与人工智能的深度融合，致力于提升现代服务业的数字化与智能化水平。重点开展自贸港供应链运作、旅游管理等决策问题的运筹优化研究，构建跨境物流、免税供应链、旅游服务链及会展资源的数学模型与信息化决策分析体系。同时，深入探索随机偏微分方程的前沿理论与高效算法，发展适用于海洋灾害预警、智能航运、渔业资源评估及生态环境监测的偏微分方程建模与数值计算方法，为相关领域提供核心数学工具。</w:t>
      </w:r>
    </w:p>
    <w:p w14:paraId="533CF7CB">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2.深海极端环境材料、南海天文观测与量子物质科学协同创新。</w:t>
      </w:r>
      <w:r>
        <w:rPr>
          <w:rFonts w:hint="default" w:ascii="Times New Roman" w:hAnsi="Times New Roman" w:eastAsia="仿宋_GB2312" w:cs="Times New Roman"/>
          <w:sz w:val="32"/>
          <w:szCs w:val="32"/>
        </w:rPr>
        <w:t>依托南海区位优势与极端条件物理技术，重点攻关深海极端环境下耐压-防腐高性能材料的微观机理与设计制备，结合高压物理实验与第一性原理计算，开发智能防护与自修复材料。同步推进南海天文台建设，研发适应恶劣海洋环境的专用观测装备，构建全天域天文监测体系，服务国家天文观测网络与海洋战略。同时，利用先进谱学技术探究新型量子材料的关联量子态与电子结构，为低功耗电子器件与量子器件研发提供材料基础与物理机制支撑。</w:t>
      </w:r>
    </w:p>
    <w:p w14:paraId="3A9C1423">
      <w:pPr>
        <w:widowControl/>
        <w:shd w:val="clear" w:color="auto" w:fill="FFFFFF"/>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3.绿色能源解决方案、海洋防护与炼化产业转型技术创新。</w:t>
      </w:r>
      <w:r>
        <w:rPr>
          <w:rFonts w:hint="default" w:ascii="Times New Roman" w:hAnsi="Times New Roman" w:eastAsia="仿宋_GB2312" w:cs="Times New Roman"/>
          <w:sz w:val="32"/>
          <w:szCs w:val="32"/>
        </w:rPr>
        <w:t>面向绿色能源与海洋强国战略，重点开展基于天然光合机制的仿生催化化学研究，设计高效光/电驱动水分解制氢与储能体系，建立催化性能理论预测模型。同时，聚焦海洋防污与自修复材料的协同创新，研发绿色环保、广谱高效的自更新防污涂层与智能检测技术，发展水性、生物基自修复聚氨酯材料。此外，服务海南炼化产业转型，开展热带地区石化新材料耐腐蚀性研究与高附加值化工新材料技术攻关，推动产业绿色升级与科技成果转化。</w:t>
      </w:r>
    </w:p>
    <w:p w14:paraId="589D5C60">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w:t>
      </w:r>
      <w:r>
        <w:rPr>
          <w:rFonts w:hint="eastAsia" w:ascii="Times New Roman" w:hAnsi="Times New Roman" w:eastAsia="黑体" w:cs="Times New Roman"/>
          <w:sz w:val="32"/>
          <w:szCs w:val="32"/>
          <w:lang w:val="en-US" w:eastAsia="zh-CN"/>
        </w:rPr>
        <w:t>海洋</w:t>
      </w:r>
      <w:r>
        <w:rPr>
          <w:rFonts w:hint="default" w:ascii="Times New Roman" w:hAnsi="Times New Roman" w:eastAsia="黑体" w:cs="Times New Roman"/>
          <w:sz w:val="32"/>
          <w:szCs w:val="32"/>
          <w:lang w:val="en-US" w:eastAsia="zh-CN"/>
        </w:rPr>
        <w:t>人文社科领域</w:t>
      </w:r>
    </w:p>
    <w:p w14:paraId="24E5B63E">
      <w:pPr>
        <w:widowControl/>
        <w:shd w:val="clear" w:color="auto" w:fill="FFFFFF"/>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1.聚焦自贸港建设，深化重大理论与实践研究。</w:t>
      </w:r>
    </w:p>
    <w:p w14:paraId="76D2042E">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围绕习近平总书记对外开放重要论述的海南实践，紧扣“十五五”自贸港建设任务，重点开展党建引领自贸港建设、制度型开放与集成创新、“三区一中心”战略实施、新质生产力培育、区域协调发展、意识形态风险防范、琼粤联动发展等重大选题研究。成立“自贸港社会治理创新研究中心”，强化理论研究与政策实践的深度融合，聚焦封关运作后的制度集成创新、营商环境优化等现实问题，产出高质量决策咨询成果，切实发挥高校智库服务党委政府决策的重要作用。</w:t>
      </w:r>
    </w:p>
    <w:p w14:paraId="56151F4B">
      <w:pPr>
        <w:widowControl/>
        <w:shd w:val="clear" w:color="auto" w:fill="FFFFFF"/>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深耕特色文化资源，打造南海文化研究品牌。</w:t>
      </w:r>
    </w:p>
    <w:p w14:paraId="7193627F">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落实习近平总书记关于保护好运用好传承好海南特色文化资源的重要指示精神，系统开展“更路簿”、南海文明、南海共同文化价值研究。深化海洋文化理论挖掘，推进南海历史、海上丝绸之路、流寓文化、海盐文化、渔耕文化、疍民文化等特色文化资源的体系化整理。开展南海疆域与海洋文明研究，聚焦海疆历史沿革、南海维权治理、海洋文化遗产保护与利用，挖掘黎族海洋图腾文化、南海航海传说等非遗内涵，促进海洋文旅融合。成立“南海历史与文献研究中心”、“海洋文化遗产保护研究院”，积极推动海洋文化遗产的活化利用与文旅融合，为南海历史研究与海洋权益维护提供关键史料支撑，打造具有国内影响力的南海海洋文明研究高地。以铸牢中华民族共同体意识为主线，加强民族宗教、华侨华人研究，加强黎族苗族等民族文化传承创新与非遗保护研究，筑牢民族地区发展文化根基。</w:t>
      </w:r>
      <w:r>
        <w:rPr>
          <w:rFonts w:hint="eastAsia" w:ascii="Times New Roman" w:hAnsi="Times New Roman" w:eastAsia="仿宋_GB2312" w:cs="Times New Roman"/>
          <w:sz w:val="32"/>
          <w:szCs w:val="32"/>
        </w:rPr>
        <w:t>深入挖掘南海渔民“更路簿”中的家国情怀、海南海洋民俗中的中华文化基因，阐释海洋文明与中华文明的内在关联，为筑牢中华民族共同体意识提供理论支撑与实践路径。</w:t>
      </w:r>
    </w:p>
    <w:p w14:paraId="7BBB2C4E">
      <w:pPr>
        <w:widowControl/>
        <w:shd w:val="clear" w:color="auto" w:fill="FFFFFF"/>
        <w:spacing w:line="560" w:lineRule="exact"/>
        <w:ind w:firstLine="643"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3.强化海洋经济研究，赋能蓝色经济高质量发展。</w:t>
      </w:r>
    </w:p>
    <w:p w14:paraId="36C181E1">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足海洋强省战略和“向海图强”部署，以“海洋旅游+海洋经济”协同创新为主线，推动理论研究与实践应用深度融合。成立海洋经济研究机构，重点围绕海洋经济、海洋旅游与邮轮游艇经济、海洋新质生产力培育、现代海洋产业体系构建、海洋文旅融合创新、</w:t>
      </w:r>
      <w:r>
        <w:rPr>
          <w:rFonts w:hint="eastAsia" w:ascii="Times New Roman" w:hAnsi="Times New Roman" w:eastAsia="仿宋_GB2312" w:cs="Times New Roman"/>
          <w:sz w:val="32"/>
          <w:szCs w:val="32"/>
        </w:rPr>
        <w:t>滨海旅游目的地竞争力提升、海岛旅游可持续发和</w:t>
      </w:r>
      <w:r>
        <w:rPr>
          <w:rFonts w:hint="default" w:ascii="Times New Roman" w:hAnsi="Times New Roman" w:eastAsia="仿宋_GB2312" w:cs="Times New Roman"/>
          <w:sz w:val="32"/>
          <w:szCs w:val="32"/>
        </w:rPr>
        <w:t>海洋碳汇与蓝碳交易机制等方向开展应用研究，推动产学研协同创新，赋能海洋经济高质量发展，为再造一个“海上海南”和海南生态文明试验区建设提供智力支撑。</w:t>
      </w:r>
    </w:p>
    <w:p w14:paraId="1586C6C7">
      <w:pPr>
        <w:widowControl/>
        <w:shd w:val="clear" w:color="auto" w:fill="FFFFFF"/>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拓展海洋合作与治理，深化东盟区域国别研究。</w:t>
      </w:r>
    </w:p>
    <w:p w14:paraId="782412BA">
      <w:pPr>
        <w:widowControl/>
        <w:shd w:val="clear" w:color="auto" w:fill="FFFFFF"/>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r>
        <w:rPr>
          <w:rFonts w:hint="eastAsia" w:ascii="Times New Roman" w:hAnsi="Times New Roman" w:eastAsia="仿宋_GB2312" w:cs="Times New Roman"/>
          <w:sz w:val="32"/>
          <w:szCs w:val="32"/>
        </w:rPr>
        <w:t>海洋强国、海洋思政、</w:t>
      </w:r>
      <w:r>
        <w:rPr>
          <w:rFonts w:hint="default" w:ascii="Times New Roman" w:hAnsi="Times New Roman" w:eastAsia="仿宋_GB2312" w:cs="Times New Roman"/>
          <w:sz w:val="32"/>
          <w:szCs w:val="32"/>
        </w:rPr>
        <w:t>海洋合作与治理、南海历史主权、海洋维权、海洋沉船遗址等研究，系统整理南海诸岛归属的历史典籍与档案，为增强全民海洋国土意识提供理论支撑，为国家海洋治理体系和治理能力现代化提供法理支撑与政策建议。加强区域国别研究机构</w:t>
      </w:r>
      <w:r>
        <w:rPr>
          <w:rFonts w:hint="eastAsia"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rPr>
        <w:t>，聚焦东盟国家国别、琼籍华人</w:t>
      </w:r>
      <w:r>
        <w:rPr>
          <w:rFonts w:ascii="Times New Roman" w:hAnsi="Times New Roman" w:eastAsia="仿宋_GB2312" w:cs="Times New Roman"/>
          <w:sz w:val="32"/>
          <w:szCs w:val="32"/>
        </w:rPr>
        <w:t>华侨、南</w:t>
      </w:r>
      <w:r>
        <w:rPr>
          <w:rFonts w:hint="default" w:ascii="Times New Roman" w:hAnsi="Times New Roman" w:eastAsia="仿宋_GB2312" w:cs="Times New Roman"/>
          <w:sz w:val="32"/>
          <w:szCs w:val="32"/>
        </w:rPr>
        <w:t>海问题、中国—东盟开放合作和海南与东南亚历史文化等方向，探索海洋经济、文化旅游、政策协同等合作路径。以服务“一带一路”倡议为导向，深化与东盟国家的海洋文化交流，构建多层次海洋人文交流网络，围绕海上丝绸之路和南海文明叙事传播海南自贸港海洋文旅资源，提升海南自贸港国际影响力。</w:t>
      </w:r>
    </w:p>
    <w:p w14:paraId="42E551A9">
      <w:pPr>
        <w:widowControl/>
        <w:shd w:val="clear" w:color="auto" w:fill="FFFFFF"/>
        <w:spacing w:line="560" w:lineRule="exact"/>
        <w:ind w:firstLine="640" w:firstLineChars="200"/>
        <w:rPr>
          <w:rFonts w:hint="default" w:ascii="Times New Roman" w:hAnsi="Times New Roman" w:eastAsia="仿宋_GB2312" w:cs="Times New Roman"/>
          <w:sz w:val="32"/>
          <w:szCs w:val="32"/>
          <w:lang w:val="en-US" w:eastAsia="zh-CN"/>
        </w:rPr>
      </w:pPr>
    </w:p>
    <w:sectPr>
      <w:footerReference r:id="rId4"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90ED7-ACCE-47EF-98D5-683D4B3ED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B1BEE70-8FA6-472A-91A7-A41D89D34D2C}"/>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59B4121B-16DF-4FB7-8CF9-88211D473452}"/>
  </w:font>
  <w:font w:name="方正楷体_GB2312">
    <w:panose1 w:val="02000000000000000000"/>
    <w:charset w:val="86"/>
    <w:family w:val="auto"/>
    <w:pitch w:val="default"/>
    <w:sig w:usb0="A00002BF" w:usb1="184F6CFA" w:usb2="00000012" w:usb3="00000000" w:csb0="00040001" w:csb1="00000000"/>
    <w:embedRegular r:id="rId4" w:fontKey="{9F4CB8E7-0524-4514-B228-3CCD46359D82}"/>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8AE0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AD7E2">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7AD7E2">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F8AA2">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1660D">
                          <w:pPr>
                            <w:pStyle w:val="4"/>
                            <w:rPr>
                              <w:rFonts w:ascii="宋体" w:hAnsi="宋体" w:eastAsia="宋体"/>
                              <w:sz w:val="28"/>
                            </w:rPr>
                          </w:pPr>
                          <w:r>
                            <w:rPr>
                              <w:rFonts w:ascii="宋体" w:hAnsi="宋体" w:eastAsia="宋体"/>
                              <w:sz w:val="28"/>
                            </w:rPr>
                            <w:t>—</w:t>
                          </w: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51660D">
                    <w:pPr>
                      <w:pStyle w:val="4"/>
                      <w:rPr>
                        <w:rFonts w:ascii="宋体" w:hAnsi="宋体" w:eastAsia="宋体"/>
                        <w:sz w:val="28"/>
                      </w:rPr>
                    </w:pPr>
                    <w:r>
                      <w:rPr>
                        <w:rFonts w:ascii="宋体" w:hAnsi="宋体" w:eastAsia="宋体"/>
                        <w:sz w:val="28"/>
                      </w:rPr>
                      <w:t>—</w:t>
                    </w:r>
                    <w:r>
                      <w:rPr>
                        <w:rFonts w:hint="default" w:ascii="Times New Roman" w:hAnsi="Times New Roman" w:eastAsia="宋体" w:cs="Times New Roman"/>
                        <w:sz w:val="28"/>
                        <w:szCs w:val="28"/>
                      </w:rPr>
                      <w:t>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35</w:t>
                    </w:r>
                    <w:r>
                      <w:rPr>
                        <w:rFonts w:hint="default" w:ascii="Times New Roman" w:hAnsi="Times New Roman" w:eastAsia="宋体" w:cs="Times New Roman"/>
                        <w:sz w:val="28"/>
                        <w:szCs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31485"/>
    <w:rsid w:val="093F51ED"/>
    <w:rsid w:val="0AB62AB4"/>
    <w:rsid w:val="0B4103B6"/>
    <w:rsid w:val="0BD231D1"/>
    <w:rsid w:val="0F337A64"/>
    <w:rsid w:val="108920B1"/>
    <w:rsid w:val="11362C7B"/>
    <w:rsid w:val="11F823DD"/>
    <w:rsid w:val="147D2CD0"/>
    <w:rsid w:val="16332CCA"/>
    <w:rsid w:val="16993797"/>
    <w:rsid w:val="19E94461"/>
    <w:rsid w:val="1B9459B5"/>
    <w:rsid w:val="1BB07BFC"/>
    <w:rsid w:val="1C3C58C6"/>
    <w:rsid w:val="1CCF1B3A"/>
    <w:rsid w:val="1DCD036B"/>
    <w:rsid w:val="1E535731"/>
    <w:rsid w:val="1E6636B3"/>
    <w:rsid w:val="1F775582"/>
    <w:rsid w:val="1F7F19CF"/>
    <w:rsid w:val="1FE70A63"/>
    <w:rsid w:val="22807740"/>
    <w:rsid w:val="22A717C7"/>
    <w:rsid w:val="258E2A26"/>
    <w:rsid w:val="2791161B"/>
    <w:rsid w:val="28A605DC"/>
    <w:rsid w:val="2B4B52DF"/>
    <w:rsid w:val="2B5C6C23"/>
    <w:rsid w:val="2D450775"/>
    <w:rsid w:val="2FE810F5"/>
    <w:rsid w:val="311847FB"/>
    <w:rsid w:val="336254B1"/>
    <w:rsid w:val="34BC3299"/>
    <w:rsid w:val="35B357AD"/>
    <w:rsid w:val="397660F1"/>
    <w:rsid w:val="3A0D050D"/>
    <w:rsid w:val="3AC3678B"/>
    <w:rsid w:val="3B801056"/>
    <w:rsid w:val="3BA334DF"/>
    <w:rsid w:val="3BE13EE5"/>
    <w:rsid w:val="3DA8208E"/>
    <w:rsid w:val="3E22360A"/>
    <w:rsid w:val="3E311EB3"/>
    <w:rsid w:val="3EC15D9F"/>
    <w:rsid w:val="40BD1BC7"/>
    <w:rsid w:val="43315D2E"/>
    <w:rsid w:val="446901E8"/>
    <w:rsid w:val="446E5777"/>
    <w:rsid w:val="46A2656D"/>
    <w:rsid w:val="48DC4D35"/>
    <w:rsid w:val="4C0B7122"/>
    <w:rsid w:val="4EAB5183"/>
    <w:rsid w:val="4F644108"/>
    <w:rsid w:val="51AB4FED"/>
    <w:rsid w:val="52F1366F"/>
    <w:rsid w:val="53F66A7D"/>
    <w:rsid w:val="540725A0"/>
    <w:rsid w:val="5CEB01AB"/>
    <w:rsid w:val="5F182D44"/>
    <w:rsid w:val="610D661F"/>
    <w:rsid w:val="62C62FBF"/>
    <w:rsid w:val="64EB27B3"/>
    <w:rsid w:val="65757142"/>
    <w:rsid w:val="69D82434"/>
    <w:rsid w:val="6A3F1ACC"/>
    <w:rsid w:val="6B8F438D"/>
    <w:rsid w:val="6BFA7529"/>
    <w:rsid w:val="6C01689B"/>
    <w:rsid w:val="6D4824BB"/>
    <w:rsid w:val="6F515815"/>
    <w:rsid w:val="70373602"/>
    <w:rsid w:val="72BD7B60"/>
    <w:rsid w:val="73B56148"/>
    <w:rsid w:val="76986034"/>
    <w:rsid w:val="797F0154"/>
    <w:rsid w:val="7A944D35"/>
    <w:rsid w:val="7E2564F1"/>
    <w:rsid w:val="7E451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39" w:name="Placeholder Text"/>
    <w:lsdException w:qFormat="1" w:unhideWhenUsed="0" w:uiPriority="39" w:name="No Spacing"/>
    <w:lsdException w:unhideWhenUsed="0" w:uiPriority="39" w:name="Light Shading"/>
    <w:lsdException w:unhideWhenUsed="0" w:uiPriority="39" w:name="Light List"/>
    <w:lsdException w:unhideWhenUsed="0" w:uiPriority="39" w:name="Light Grid"/>
    <w:lsdException w:unhideWhenUsed="0" w:uiPriority="39" w:name="Medium Shading 1"/>
    <w:lsdException w:unhideWhenUsed="0" w:uiPriority="39" w:name="Medium Shading 2"/>
    <w:lsdException w:unhideWhenUsed="0" w:uiPriority="39" w:name="Medium List 1"/>
    <w:lsdException w:unhideWhenUsed="0" w:uiPriority="39" w:name="Medium List 2"/>
    <w:lsdException w:unhideWhenUsed="0" w:uiPriority="39" w:name="Medium Grid 1"/>
    <w:lsdException w:unhideWhenUsed="0" w:uiPriority="39" w:name="Medium Grid 2"/>
    <w:lsdException w:unhideWhenUsed="0" w:uiPriority="39" w:name="Medium Grid 3"/>
    <w:lsdException w:unhideWhenUsed="0" w:uiPriority="39" w:name="Dark List"/>
    <w:lsdException w:unhideWhenUsed="0" w:uiPriority="39" w:name="Colorful Shading"/>
    <w:lsdException w:unhideWhenUsed="0" w:uiPriority="39" w:name="Colorful List"/>
    <w:lsdException w:qFormat="1" w:unhideWhenUsed="0" w:uiPriority="39" w:name="Colorful Grid"/>
    <w:lsdException w:unhideWhenUsed="0" w:uiPriority="39" w:name="Light Shading Accent 1"/>
    <w:lsdException w:unhideWhenUsed="0" w:uiPriority="39" w:name="Light List Accent 1"/>
    <w:lsdException w:unhideWhenUsed="0" w:uiPriority="39" w:name="Light Grid Accent 1"/>
    <w:lsdException w:unhideWhenUsed="0" w:uiPriority="39" w:name="Medium Shading 1 Accent 1"/>
    <w:lsdException w:unhideWhenUsed="0" w:uiPriority="39" w:name="Medium Shading 2 Accent 1"/>
    <w:lsdException w:qFormat="1" w:unhideWhenUsed="0" w:uiPriority="39" w:name="Medium List 1 Accent 1"/>
    <w:lsdException w:qFormat="1" w:unhideWhenUsed="0" w:uiPriority="39" w:name="List Paragraph"/>
    <w:lsdException w:qFormat="1" w:unhideWhenUsed="0" w:uiPriority="39" w:name="Quote"/>
    <w:lsdException w:qFormat="1" w:unhideWhenUsed="0" w:uiPriority="39" w:name="Intense Quote"/>
    <w:lsdException w:qFormat="1" w:unhideWhenUsed="0" w:uiPriority="39" w:name="Medium List 2 Accent 1"/>
    <w:lsdException w:qFormat="1" w:unhideWhenUsed="0" w:uiPriority="39" w:name="Medium Grid 1 Accent 1"/>
    <w:lsdException w:unhideWhenUsed="0" w:uiPriority="39" w:name="Medium Grid 2 Accent 1"/>
    <w:lsdException w:unhideWhenUsed="0" w:uiPriority="39" w:name="Medium Grid 3 Accent 1"/>
    <w:lsdException w:unhideWhenUsed="0" w:uiPriority="39" w:name="Dark List Accent 1"/>
    <w:lsdException w:qFormat="1" w:unhideWhenUsed="0" w:uiPriority="39" w:name="Colorful Shading Accent 1"/>
    <w:lsdException w:qFormat="1" w:unhideWhenUsed="0" w:uiPriority="39" w:name="Colorful List Accent 1"/>
    <w:lsdException w:unhideWhenUsed="0" w:uiPriority="39" w:name="Colorful Grid Accent 1"/>
    <w:lsdException w:unhideWhenUsed="0" w:uiPriority="39" w:name="Light Shading Accent 2"/>
    <w:lsdException w:unhideWhenUsed="0" w:uiPriority="39" w:name="Light List Accent 2"/>
    <w:lsdException w:unhideWhenUsed="0" w:uiPriority="39" w:name="Light Grid Accent 2"/>
    <w:lsdException w:qFormat="1" w:unhideWhenUsed="0" w:uiPriority="39" w:name="Medium Shading 1 Accent 2"/>
    <w:lsdException w:qFormat="1" w:unhideWhenUsed="0" w:uiPriority="39" w:name="Medium Shading 2 Accent 2"/>
    <w:lsdException w:unhideWhenUsed="0" w:uiPriority="39" w:name="Medium List 1 Accent 2"/>
    <w:lsdException w:unhideWhenUsed="0" w:uiPriority="39" w:name="Medium List 2 Accent 2"/>
    <w:lsdException w:unhideWhenUsed="0" w:uiPriority="39" w:name="Medium Grid 1 Accent 2"/>
    <w:lsdException w:unhideWhenUsed="0" w:uiPriority="39" w:name="Medium Grid 2 Accent 2"/>
    <w:lsdException w:unhideWhenUsed="0" w:uiPriority="39" w:name="Medium Grid 3 Accent 2"/>
    <w:lsdException w:unhideWhenUsed="0" w:uiPriority="39" w:name="Dark List Accent 2"/>
    <w:lsdException w:unhideWhenUsed="0" w:uiPriority="39" w:name="Colorful Shading Accent 2"/>
    <w:lsdException w:unhideWhenUsed="0" w:uiPriority="39" w:name="Colorful List Accent 2"/>
    <w:lsdException w:qFormat="1" w:unhideWhenUsed="0" w:uiPriority="39" w:name="Colorful Grid Accent 2"/>
    <w:lsdException w:unhideWhenUsed="0" w:uiPriority="39" w:name="Light Shading Accent 3"/>
    <w:lsdException w:unhideWhenUsed="0" w:uiPriority="39" w:name="Light List Accent 3"/>
    <w:lsdException w:unhideWhenUsed="0" w:uiPriority="39" w:name="Light Grid Accent 3"/>
    <w:lsdException w:unhideWhenUsed="0" w:uiPriority="39" w:name="Medium Shading 1 Accent 3"/>
    <w:lsdException w:qFormat="1" w:unhideWhenUsed="0" w:uiPriority="39" w:name="Medium Shading 2 Accent 3"/>
    <w:lsdException w:unhideWhenUsed="0" w:uiPriority="39" w:name="Medium List 1 Accent 3"/>
    <w:lsdException w:qFormat="1" w:unhideWhenUsed="0" w:uiPriority="39" w:name="Medium List 2 Accent 3"/>
    <w:lsdException w:unhideWhenUsed="0" w:uiPriority="39" w:name="Medium Grid 1 Accent 3"/>
    <w:lsdException w:unhideWhenUsed="0" w:uiPriority="39" w:name="Medium Grid 2 Accent 3"/>
    <w:lsdException w:unhideWhenUsed="0" w:uiPriority="39" w:name="Medium Grid 3 Accent 3"/>
    <w:lsdException w:unhideWhenUsed="0" w:uiPriority="39" w:name="Dark List Accent 3"/>
    <w:lsdException w:unhideWhenUsed="0" w:uiPriority="39" w:name="Colorful Shading Accent 3"/>
    <w:lsdException w:unhideWhenUsed="0" w:uiPriority="39" w:name="Colorful List Accent 3"/>
    <w:lsdException w:unhideWhenUsed="0" w:uiPriority="39" w:name="Colorful Grid Accent 3"/>
    <w:lsdException w:unhideWhenUsed="0" w:uiPriority="39" w:name="Light Shading Accent 4"/>
    <w:lsdException w:unhideWhenUsed="0" w:uiPriority="39" w:name="Light List Accent 4"/>
    <w:lsdException w:unhideWhenUsed="0" w:uiPriority="39" w:name="Light Grid Accent 4"/>
    <w:lsdException w:qFormat="1" w:unhideWhenUsed="0" w:uiPriority="39" w:name="Medium Shading 1 Accent 4"/>
    <w:lsdException w:unhideWhenUsed="0" w:uiPriority="39" w:name="Medium Shading 2 Accent 4"/>
    <w:lsdException w:qFormat="1" w:unhideWhenUsed="0" w:uiPriority="39" w:name="Medium List 1 Accent 4"/>
    <w:lsdException w:unhideWhenUsed="0" w:uiPriority="39" w:name="Medium List 2 Accent 4"/>
    <w:lsdException w:unhideWhenUsed="0" w:uiPriority="39" w:name="Medium Grid 1 Accent 4"/>
    <w:lsdException w:unhideWhenUsed="0" w:uiPriority="39" w:name="Medium Grid 2 Accent 4"/>
    <w:lsdException w:unhideWhenUsed="0" w:uiPriority="39" w:name="Medium Grid 3 Accent 4"/>
    <w:lsdException w:unhideWhenUsed="0" w:uiPriority="39" w:name="Dark List Accent 4"/>
    <w:lsdException w:unhideWhenUsed="0" w:uiPriority="39" w:name="Colorful Shading Accent 4"/>
    <w:lsdException w:qFormat="1" w:unhideWhenUsed="0" w:uiPriority="39" w:name="Colorful List Accent 4"/>
    <w:lsdException w:unhideWhenUsed="0" w:uiPriority="39" w:name="Colorful Grid Accent 4"/>
    <w:lsdException w:unhideWhenUsed="0" w:uiPriority="39" w:name="Light Shading Accent 5"/>
    <w:lsdException w:unhideWhenUsed="0" w:uiPriority="39" w:name="Light List Accent 5"/>
    <w:lsdException w:unhideWhenUsed="0" w:uiPriority="39" w:name="Light Grid Accent 5"/>
    <w:lsdException w:qFormat="1" w:unhideWhenUsed="0" w:uiPriority="39" w:name="Medium Shading 1 Accent 5"/>
    <w:lsdException w:qFormat="1" w:unhideWhenUsed="0" w:uiPriority="39" w:name="Medium Shading 2 Accent 5"/>
    <w:lsdException w:qFormat="1" w:unhideWhenUsed="0" w:uiPriority="39" w:name="Medium List 1 Accent 5"/>
    <w:lsdException w:unhideWhenUsed="0" w:uiPriority="39" w:name="Medium List 2 Accent 5"/>
    <w:lsdException w:unhideWhenUsed="0" w:uiPriority="39" w:name="Medium Grid 1 Accent 5"/>
    <w:lsdException w:qFormat="1" w:unhideWhenUsed="0" w:uiPriority="39" w:name="Medium Grid 2 Accent 5"/>
    <w:lsdException w:unhideWhenUsed="0" w:uiPriority="39" w:name="Medium Grid 3 Accent 5"/>
    <w:lsdException w:unhideWhenUsed="0" w:uiPriority="39" w:name="Dark List Accent 5"/>
    <w:lsdException w:unhideWhenUsed="0" w:uiPriority="39" w:name="Colorful Shading Accent 5"/>
    <w:lsdException w:unhideWhenUsed="0" w:uiPriority="39" w:name="Colorful List Accent 5"/>
    <w:lsdException w:qFormat="1" w:unhideWhenUsed="0" w:uiPriority="39" w:name="Colorful Grid Accent 5"/>
    <w:lsdException w:unhideWhenUsed="0" w:uiPriority="39" w:name="Light Shading Accent 6"/>
    <w:lsdException w:unhideWhenUsed="0" w:uiPriority="39" w:name="Light List Accent 6"/>
    <w:lsdException w:unhideWhenUsed="0" w:uiPriority="39" w:name="Light Grid Accent 6"/>
    <w:lsdException w:unhideWhenUsed="0" w:uiPriority="39" w:name="Medium Shading 1 Accent 6"/>
    <w:lsdException w:unhideWhenUsed="0" w:uiPriority="39" w:name="Medium Shading 2 Accent 6"/>
    <w:lsdException w:unhideWhenUsed="0" w:uiPriority="39" w:name="Medium List 1 Accent 6"/>
    <w:lsdException w:unhideWhenUsed="0" w:uiPriority="39" w:name="Medium List 2 Accent 6"/>
    <w:lsdException w:unhideWhenUsed="0" w:uiPriority="39" w:name="Medium Grid 1 Accent 6"/>
    <w:lsdException w:unhideWhenUsed="0" w:uiPriority="39" w:name="Medium Grid 2 Accent 6"/>
    <w:lsdException w:unhideWhenUsed="0" w:uiPriority="39" w:name="Medium Grid 3 Accent 6"/>
    <w:lsdException w:unhideWhenUsed="0" w:uiPriority="39" w:name="Dark List Accent 6"/>
    <w:lsdException w:unhideWhenUsed="0" w:uiPriority="39" w:name="Colorful Shading Accent 6"/>
    <w:lsdException w:unhideWhenUsed="0" w:uiPriority="39" w:name="Colorful List Accent 6"/>
    <w:lsdException w:qFormat="1" w:unhideWhenUsed="0" w:uiPriority="39"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rFonts w:hint="default" w:ascii="宋体" w:hAnsi="宋体" w:eastAsia="宋体" w:cs="宋体"/>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basedOn w:val="9"/>
    <w:qFormat/>
    <w:uiPriority w:val="0"/>
    <w:rPr>
      <w:i/>
    </w:rPr>
  </w:style>
  <w:style w:type="character" w:styleId="12">
    <w:name w:val="annotation reference"/>
    <w:qFormat/>
    <w:uiPriority w:val="0"/>
    <w:rPr>
      <w:sz w:val="21"/>
      <w:szCs w:val="21"/>
    </w:rPr>
  </w:style>
  <w:style w:type="paragraph" w:customStyle="1" w:styleId="13">
    <w:name w:val="EndnoteText"/>
    <w:basedOn w:val="1"/>
    <w:autoRedefine/>
    <w:qFormat/>
    <w:uiPriority w:val="0"/>
    <w:rPr>
      <w:rFonts w:ascii="Calibri" w:hAnsi="Calibri" w:eastAsia="宋体" w:cs="Times New Roman"/>
      <w:szCs w:val="21"/>
    </w:rPr>
  </w:style>
  <w:style w:type="paragraph" w:customStyle="1" w:styleId="14">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9055</Words>
  <Characters>9176</Characters>
  <Lines>0</Lines>
  <Paragraphs>0</Paragraphs>
  <TotalTime>52</TotalTime>
  <ScaleCrop>false</ScaleCrop>
  <LinksUpToDate>false</LinksUpToDate>
  <CharactersWithSpaces>9177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2026-03-10T03:26:00Z</dcterms:created>
  <dc:creator>Lenovo</dc:creator>
  <cp:lastModifiedBy>青梅</cp:lastModifiedBy>
  <cp:lastPrinted>2026-05-15T00:28:00Z</cp:lastPrinted>
  <dcterms:modified xsi:type="dcterms:W3CDTF">2026-06-11T00:27:44Z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eyJoZGlkIjoiY2Y4MGM4MjUxNjYwZDAxNTAxYzA0MjBjMWM1NTY4YTQiLCJ1c2VySWQiOiIyODQ1ODQwNjMifQ==</vt:lpwstr>
  </property>
  <property fmtid="{D5CDD505-2E9C-101B-9397-08002B2CF9AE}" pid="4" name="ICV">
    <vt:lpwstr>8D5B8079516246E883B253A635B7FB03_13</vt:lpwstr>
  </property>
</Properties>
</file>